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A6BE5" w:rsidRDefault="00555006">
      <w:pPr>
        <w:pStyle w:val="Style1"/>
        <w:widowControl/>
        <w:rPr>
          <w:rStyle w:val="FontStyle72"/>
        </w:rPr>
      </w:pPr>
      <w:r>
        <w:rPr>
          <w:rStyle w:val="FontStyle72"/>
        </w:rPr>
        <w:t xml:space="preserve">Федеральное государственное образовательное бюджетное учреждение </w:t>
      </w:r>
    </w:p>
    <w:p w:rsidR="002A6BE5" w:rsidRDefault="00555006">
      <w:pPr>
        <w:pStyle w:val="Style1"/>
        <w:widowControl/>
        <w:rPr>
          <w:rStyle w:val="FontStyle72"/>
        </w:rPr>
      </w:pPr>
      <w:r>
        <w:rPr>
          <w:rStyle w:val="FontStyle72"/>
        </w:rPr>
        <w:t>высшего образования</w:t>
      </w:r>
    </w:p>
    <w:p w:rsidR="002A6BE5" w:rsidRDefault="00555006">
      <w:pPr>
        <w:pStyle w:val="Style1"/>
        <w:widowControl/>
        <w:spacing w:before="67"/>
        <w:ind w:left="686"/>
        <w:rPr>
          <w:rStyle w:val="FontStyle72"/>
          <w:sz w:val="28"/>
          <w:szCs w:val="28"/>
        </w:rPr>
      </w:pPr>
      <w:r>
        <w:rPr>
          <w:rStyle w:val="FontStyle72"/>
          <w:sz w:val="28"/>
          <w:szCs w:val="28"/>
        </w:rPr>
        <w:t xml:space="preserve"> «ФИНАНСОВЫЙ УНИВЕРСИТЕТ ПРИ ПРАВИТЕЛЬСТВЕ РОССИЙСКОЙ ФЕДЕРАЦИИ» </w:t>
      </w:r>
    </w:p>
    <w:p w:rsidR="002A6BE5" w:rsidRDefault="00555006">
      <w:pPr>
        <w:pStyle w:val="Style1"/>
        <w:widowControl/>
        <w:spacing w:before="67"/>
        <w:ind w:left="686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(Финансовый университет)</w:t>
      </w:r>
    </w:p>
    <w:p w:rsidR="002A6BE5" w:rsidRDefault="00555006">
      <w:pPr>
        <w:pStyle w:val="Style8"/>
        <w:widowControl/>
        <w:spacing w:before="101"/>
        <w:jc w:val="center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Департамент банковского дела и монетарного регулирования</w:t>
      </w:r>
    </w:p>
    <w:p w:rsidR="002A6BE5" w:rsidRDefault="00555006">
      <w:pPr>
        <w:pStyle w:val="Style8"/>
        <w:widowControl/>
        <w:spacing w:before="101"/>
        <w:jc w:val="center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Финансового факультета</w:t>
      </w:r>
    </w:p>
    <w:p w:rsidR="002A6BE5" w:rsidRDefault="002A6BE5">
      <w:pPr>
        <w:jc w:val="right"/>
        <w:rPr>
          <w:rFonts w:eastAsia="Times New Roman"/>
          <w:sz w:val="28"/>
          <w:szCs w:val="28"/>
        </w:rPr>
      </w:pPr>
    </w:p>
    <w:tbl>
      <w:tblPr>
        <w:tblW w:w="903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4836"/>
        <w:gridCol w:w="4194"/>
      </w:tblGrid>
      <w:tr w:rsidR="002A6BE5">
        <w:trPr>
          <w:trHeight w:val="3189"/>
        </w:trPr>
        <w:tc>
          <w:tcPr>
            <w:tcW w:w="4835" w:type="dxa"/>
          </w:tcPr>
          <w:p w:rsidR="002A6BE5" w:rsidRDefault="00555006">
            <w:pPr>
              <w:rPr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 xml:space="preserve">       </w:t>
            </w:r>
            <w:r>
              <w:rPr>
                <w:sz w:val="28"/>
                <w:szCs w:val="28"/>
              </w:rPr>
              <w:t>СОГЛАСОВАНО</w:t>
            </w:r>
          </w:p>
          <w:p w:rsidR="002A6BE5" w:rsidRDefault="002A6BE5">
            <w:pPr>
              <w:rPr>
                <w:sz w:val="28"/>
                <w:szCs w:val="28"/>
              </w:rPr>
            </w:pPr>
          </w:p>
          <w:p w:rsidR="002A6BE5" w:rsidRDefault="0055500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«НКР»</w:t>
            </w:r>
          </w:p>
          <w:p w:rsidR="002A6BE5" w:rsidRDefault="002A6BE5">
            <w:pPr>
              <w:rPr>
                <w:sz w:val="28"/>
                <w:szCs w:val="28"/>
              </w:rPr>
            </w:pPr>
          </w:p>
          <w:p w:rsidR="002A6BE5" w:rsidRDefault="0055500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Управляющий директор</w:t>
            </w:r>
          </w:p>
          <w:p w:rsidR="002A6BE5" w:rsidRDefault="002A6BE5">
            <w:pPr>
              <w:rPr>
                <w:sz w:val="28"/>
                <w:szCs w:val="28"/>
              </w:rPr>
            </w:pPr>
          </w:p>
          <w:p w:rsidR="002A6BE5" w:rsidRDefault="0055500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 С.А. Волков</w:t>
            </w:r>
          </w:p>
          <w:p w:rsidR="002A6BE5" w:rsidRDefault="002A6BE5"/>
          <w:p w:rsidR="002A6BE5" w:rsidRDefault="00555006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7F6838">
              <w:rPr>
                <w:sz w:val="28"/>
                <w:szCs w:val="28"/>
              </w:rPr>
              <w:t>25</w:t>
            </w:r>
            <w:r>
              <w:rPr>
                <w:sz w:val="28"/>
                <w:szCs w:val="28"/>
              </w:rPr>
              <w:t xml:space="preserve">» </w:t>
            </w:r>
            <w:r w:rsidR="007F6838">
              <w:rPr>
                <w:sz w:val="28"/>
                <w:szCs w:val="28"/>
              </w:rPr>
              <w:t>декабря</w:t>
            </w:r>
            <w:r>
              <w:rPr>
                <w:sz w:val="28"/>
                <w:szCs w:val="28"/>
              </w:rPr>
              <w:t xml:space="preserve"> 202</w:t>
            </w:r>
            <w:r w:rsidR="007F6838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194" w:type="dxa"/>
          </w:tcPr>
          <w:p w:rsidR="002A6BE5" w:rsidRDefault="00555006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rFonts w:eastAsia="Times New Roman"/>
                <w:caps/>
                <w:sz w:val="28"/>
                <w:szCs w:val="28"/>
              </w:rPr>
              <w:t>утверждаю</w:t>
            </w:r>
          </w:p>
          <w:p w:rsidR="002A6BE5" w:rsidRDefault="002A6BE5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</w:p>
          <w:p w:rsidR="002A6BE5" w:rsidRDefault="00555006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Проректор по учебной и методической работе</w:t>
            </w:r>
          </w:p>
          <w:p w:rsidR="002A6BE5" w:rsidRDefault="002A6BE5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2A6BE5" w:rsidRDefault="00555006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____________ Е.А. Каменева</w:t>
            </w:r>
          </w:p>
          <w:p w:rsidR="002A6BE5" w:rsidRDefault="002A6BE5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2A6BE5" w:rsidRDefault="00555006">
            <w:pPr>
              <w:spacing w:line="276" w:lineRule="auto"/>
              <w:jc w:val="both"/>
              <w:rPr>
                <w:rFonts w:eastAsia="Times New Roman"/>
                <w:b/>
                <w:caps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«</w:t>
            </w:r>
            <w:r w:rsidR="007F6838">
              <w:rPr>
                <w:rFonts w:eastAsia="Times New Roman"/>
                <w:sz w:val="28"/>
                <w:szCs w:val="28"/>
              </w:rPr>
              <w:t>28</w:t>
            </w:r>
            <w:r>
              <w:rPr>
                <w:rFonts w:eastAsia="Times New Roman"/>
                <w:sz w:val="28"/>
                <w:szCs w:val="28"/>
              </w:rPr>
              <w:t>»</w:t>
            </w:r>
            <w:r w:rsidR="007F6838">
              <w:rPr>
                <w:rFonts w:eastAsia="Times New Roman"/>
                <w:sz w:val="28"/>
                <w:szCs w:val="28"/>
              </w:rPr>
              <w:t xml:space="preserve"> </w:t>
            </w:r>
            <w:proofErr w:type="gramStart"/>
            <w:r w:rsidR="007F6838">
              <w:rPr>
                <w:rFonts w:eastAsia="Times New Roman"/>
                <w:sz w:val="28"/>
                <w:szCs w:val="28"/>
              </w:rPr>
              <w:t xml:space="preserve">декабря </w:t>
            </w:r>
            <w:r>
              <w:rPr>
                <w:rFonts w:eastAsia="Times New Roman"/>
                <w:sz w:val="28"/>
                <w:szCs w:val="28"/>
              </w:rPr>
              <w:t xml:space="preserve"> 202</w:t>
            </w:r>
            <w:r w:rsidR="007F6838">
              <w:rPr>
                <w:rFonts w:eastAsia="Times New Roman"/>
                <w:sz w:val="28"/>
                <w:szCs w:val="28"/>
              </w:rPr>
              <w:t>3</w:t>
            </w:r>
            <w:proofErr w:type="gramEnd"/>
            <w:r>
              <w:rPr>
                <w:rFonts w:eastAsia="Times New Roman"/>
                <w:sz w:val="28"/>
                <w:szCs w:val="28"/>
              </w:rPr>
              <w:t xml:space="preserve"> г.</w:t>
            </w:r>
          </w:p>
        </w:tc>
      </w:tr>
    </w:tbl>
    <w:p w:rsidR="002A6BE5" w:rsidRDefault="002A6BE5">
      <w:pPr>
        <w:jc w:val="center"/>
        <w:rPr>
          <w:rFonts w:eastAsia="Times New Roman"/>
          <w:sz w:val="36"/>
          <w:szCs w:val="36"/>
        </w:rPr>
      </w:pPr>
    </w:p>
    <w:p w:rsidR="002A6BE5" w:rsidRDefault="00555006">
      <w:pPr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Ларионова И.В., Чичуленков Д.А.</w:t>
      </w:r>
    </w:p>
    <w:p w:rsidR="002A6BE5" w:rsidRDefault="002A6BE5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</w:p>
    <w:p w:rsidR="002A6BE5" w:rsidRDefault="00555006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Оценка финансовой устойчивости коммерческого банка</w:t>
      </w:r>
    </w:p>
    <w:p w:rsidR="002A6BE5" w:rsidRDefault="002A6BE5">
      <w:pPr>
        <w:jc w:val="center"/>
        <w:rPr>
          <w:rFonts w:eastAsia="Times New Roman"/>
          <w:sz w:val="20"/>
          <w:szCs w:val="20"/>
        </w:rPr>
      </w:pPr>
    </w:p>
    <w:p w:rsidR="002A6BE5" w:rsidRDefault="002A6BE5">
      <w:pPr>
        <w:jc w:val="center"/>
        <w:rPr>
          <w:rFonts w:eastAsia="Times New Roman"/>
          <w:sz w:val="20"/>
          <w:szCs w:val="20"/>
        </w:rPr>
      </w:pPr>
    </w:p>
    <w:p w:rsidR="002A6BE5" w:rsidRDefault="00555006">
      <w:pPr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Рабочая программа дисциплины</w:t>
      </w:r>
    </w:p>
    <w:p w:rsidR="002A6BE5" w:rsidRDefault="002A6BE5">
      <w:pPr>
        <w:jc w:val="center"/>
        <w:rPr>
          <w:rFonts w:eastAsia="Times New Roman"/>
          <w:b/>
          <w:sz w:val="28"/>
          <w:szCs w:val="28"/>
        </w:rPr>
      </w:pPr>
    </w:p>
    <w:p w:rsidR="002A6BE5" w:rsidRDefault="00555006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для студентов, обучающихся по направлению подготовки</w:t>
      </w:r>
    </w:p>
    <w:p w:rsidR="002A6BE5" w:rsidRDefault="00555006">
      <w:pPr>
        <w:spacing w:line="276" w:lineRule="auto"/>
        <w:jc w:val="center"/>
        <w:rPr>
          <w:rFonts w:eastAsia="Times New Roman"/>
        </w:rPr>
      </w:pPr>
      <w:r>
        <w:rPr>
          <w:rFonts w:eastAsia="Times New Roman"/>
          <w:sz w:val="28"/>
          <w:szCs w:val="28"/>
        </w:rPr>
        <w:t>38.04.08 – Финансы и кредит</w:t>
      </w:r>
    </w:p>
    <w:p w:rsidR="002A6BE5" w:rsidRDefault="00555006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Направленность программы магистратуры:</w:t>
      </w:r>
    </w:p>
    <w:p w:rsidR="002A6BE5" w:rsidRDefault="00555006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«Банковское дело и риск-менеджмент» </w:t>
      </w:r>
    </w:p>
    <w:p w:rsidR="002A6BE5" w:rsidRDefault="002A6BE5">
      <w:pPr>
        <w:spacing w:line="276" w:lineRule="auto"/>
        <w:jc w:val="center"/>
        <w:rPr>
          <w:rFonts w:eastAsia="Times New Roman"/>
          <w:i/>
        </w:rPr>
      </w:pPr>
    </w:p>
    <w:p w:rsidR="002A6BE5" w:rsidRDefault="00555006">
      <w:pPr>
        <w:spacing w:line="276" w:lineRule="auto"/>
        <w:jc w:val="center"/>
        <w:rPr>
          <w:rFonts w:eastAsia="Times New Roman"/>
          <w:i/>
        </w:rPr>
      </w:pPr>
      <w:r>
        <w:rPr>
          <w:rFonts w:eastAsia="Times New Roman"/>
          <w:i/>
        </w:rPr>
        <w:t>Рекомендовано Ученым советом финансового факультета</w:t>
      </w:r>
    </w:p>
    <w:p w:rsidR="002A6BE5" w:rsidRDefault="00555006">
      <w:pPr>
        <w:spacing w:line="276" w:lineRule="auto"/>
        <w:jc w:val="center"/>
        <w:rPr>
          <w:rFonts w:eastAsia="Times New Roman"/>
          <w:iCs/>
        </w:rPr>
      </w:pPr>
      <w:r>
        <w:rPr>
          <w:rFonts w:eastAsia="Times New Roman"/>
          <w:iCs/>
        </w:rPr>
        <w:t>(</w:t>
      </w:r>
      <w:r>
        <w:rPr>
          <w:rFonts w:eastAsia="Times New Roman"/>
          <w:i/>
        </w:rPr>
        <w:t>протокол № 40 от 20 декабря 2023 г.</w:t>
      </w:r>
      <w:r>
        <w:rPr>
          <w:rFonts w:eastAsia="Times New Roman"/>
          <w:iCs/>
        </w:rPr>
        <w:t>)</w:t>
      </w:r>
    </w:p>
    <w:p w:rsidR="002A6BE5" w:rsidRDefault="002A6BE5">
      <w:pPr>
        <w:spacing w:line="276" w:lineRule="auto"/>
        <w:jc w:val="center"/>
        <w:rPr>
          <w:rFonts w:eastAsia="Times New Roman"/>
          <w:i/>
        </w:rPr>
      </w:pPr>
    </w:p>
    <w:p w:rsidR="002A6BE5" w:rsidRDefault="00555006">
      <w:pPr>
        <w:spacing w:line="276" w:lineRule="auto"/>
        <w:jc w:val="center"/>
        <w:rPr>
          <w:rFonts w:eastAsia="Times New Roman"/>
          <w:i/>
        </w:rPr>
      </w:pPr>
      <w:r>
        <w:rPr>
          <w:rFonts w:eastAsia="Times New Roman"/>
          <w:i/>
        </w:rPr>
        <w:t>Одобрено учебно-научным Департаментом банковского дела и монетарного регулирования</w:t>
      </w:r>
    </w:p>
    <w:p w:rsidR="002A6BE5" w:rsidRDefault="00555006">
      <w:pPr>
        <w:spacing w:line="276" w:lineRule="auto"/>
        <w:jc w:val="center"/>
        <w:rPr>
          <w:rFonts w:eastAsia="Times New Roman"/>
          <w:i/>
        </w:rPr>
      </w:pPr>
      <w:r>
        <w:rPr>
          <w:rFonts w:eastAsia="Times New Roman"/>
          <w:i/>
        </w:rPr>
        <w:t xml:space="preserve"> (протокол № 4 от 08 ноября 2023 г.)</w:t>
      </w:r>
    </w:p>
    <w:p w:rsidR="002A6BE5" w:rsidRDefault="002A6BE5">
      <w:pPr>
        <w:jc w:val="center"/>
        <w:rPr>
          <w:rFonts w:eastAsia="Times New Roman"/>
          <w:sz w:val="28"/>
          <w:szCs w:val="28"/>
        </w:rPr>
      </w:pPr>
    </w:p>
    <w:p w:rsidR="002A6BE5" w:rsidRDefault="002A6BE5">
      <w:pPr>
        <w:jc w:val="center"/>
        <w:rPr>
          <w:rFonts w:eastAsia="Times New Roman"/>
          <w:sz w:val="28"/>
          <w:szCs w:val="28"/>
        </w:rPr>
      </w:pPr>
    </w:p>
    <w:p w:rsidR="002A6BE5" w:rsidRDefault="002A6BE5">
      <w:pPr>
        <w:jc w:val="center"/>
        <w:rPr>
          <w:rFonts w:eastAsia="Times New Roman"/>
          <w:sz w:val="28"/>
          <w:szCs w:val="28"/>
        </w:rPr>
      </w:pPr>
    </w:p>
    <w:p w:rsidR="002A6BE5" w:rsidRDefault="002A6BE5">
      <w:pPr>
        <w:jc w:val="center"/>
        <w:rPr>
          <w:rFonts w:eastAsia="Times New Roman"/>
          <w:sz w:val="28"/>
          <w:szCs w:val="28"/>
        </w:rPr>
      </w:pPr>
    </w:p>
    <w:p w:rsidR="002A6BE5" w:rsidRDefault="00555006">
      <w:pPr>
        <w:jc w:val="center"/>
        <w:rPr>
          <w:b/>
          <w:bCs/>
        </w:rPr>
      </w:pPr>
      <w:r>
        <w:rPr>
          <w:rFonts w:eastAsia="Times New Roman"/>
          <w:b/>
          <w:bCs/>
          <w:sz w:val="28"/>
          <w:szCs w:val="28"/>
        </w:rPr>
        <w:t>Москва 2023 год</w:t>
      </w:r>
    </w:p>
    <w:p w:rsidR="002A6BE5" w:rsidRDefault="002A6BE5">
      <w:pPr>
        <w:jc w:val="both"/>
        <w:rPr>
          <w:color w:val="FF0000"/>
          <w:sz w:val="28"/>
          <w:szCs w:val="28"/>
        </w:rPr>
      </w:pPr>
    </w:p>
    <w:p w:rsidR="002A6BE5" w:rsidRDefault="002A6BE5">
      <w:pPr>
        <w:sectPr w:rsidR="002A6BE5">
          <w:pgSz w:w="11906" w:h="16838"/>
          <w:pgMar w:top="1134" w:right="851" w:bottom="1134" w:left="1701" w:header="0" w:footer="0" w:gutter="0"/>
          <w:cols w:space="720"/>
          <w:formProt w:val="0"/>
          <w:docGrid w:linePitch="360"/>
        </w:sectPr>
      </w:pPr>
    </w:p>
    <w:bookmarkStart w:id="0" w:name="_Toc158300827" w:displacedByCustomXml="next"/>
    <w:sdt>
      <w:sdtPr>
        <w:rPr>
          <w:rFonts w:ascii="Times New Roman" w:eastAsiaTheme="minorEastAsia" w:hAnsi="Times New Roman" w:cs="Times New Roman"/>
          <w:color w:val="auto"/>
          <w:sz w:val="24"/>
          <w:szCs w:val="24"/>
        </w:rPr>
        <w:id w:val="857626768"/>
        <w:docPartObj>
          <w:docPartGallery w:val="Table of Contents"/>
          <w:docPartUnique/>
        </w:docPartObj>
      </w:sdtPr>
      <w:sdtContent>
        <w:p w:rsidR="007F6838" w:rsidRPr="007F6838" w:rsidRDefault="00555006" w:rsidP="007F6838">
          <w:pPr>
            <w:pStyle w:val="afd"/>
            <w:jc w:val="center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>
            <w:rPr>
              <w:rFonts w:ascii="Times New Roman" w:hAnsi="Times New Roman" w:cs="Times New Roman"/>
              <w:color w:val="auto"/>
              <w:sz w:val="24"/>
              <w:szCs w:val="24"/>
            </w:rPr>
            <w:t>СОДЕРЖАНИЕ</w:t>
          </w:r>
          <w:bookmarkEnd w:id="0"/>
          <w:r>
            <w:fldChar w:fldCharType="begin"/>
          </w:r>
          <w:r>
            <w:rPr>
              <w:webHidden/>
              <w:color w:val="000000"/>
            </w:rPr>
            <w:instrText>TOC \z \o "1-3" \u \h</w:instrText>
          </w:r>
          <w:r>
            <w:rPr>
              <w:color w:val="000000"/>
            </w:rPr>
            <w:fldChar w:fldCharType="separate"/>
          </w:r>
          <w:hyperlink w:anchor="_Toc158300827" w:history="1"/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28" w:history="1">
            <w:r w:rsidRPr="007F6838">
              <w:rPr>
                <w:rStyle w:val="aff4"/>
                <w:noProof/>
                <w:color w:val="auto"/>
              </w:rPr>
              <w:t>1. Наименование дисциплины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_Toc158300828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3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29" w:history="1">
            <w:r w:rsidRPr="007F6838">
              <w:rPr>
                <w:rStyle w:val="aff4"/>
                <w:noProof/>
                <w:color w:val="auto"/>
              </w:rPr>
      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_Toc158300829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3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30" w:history="1">
            <w:r w:rsidRPr="007F6838">
              <w:rPr>
                <w:rStyle w:val="aff4"/>
                <w:noProof/>
                <w:color w:val="auto"/>
              </w:rPr>
              <w:t>3. Место дисциплины в структуре образовательной программы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_Toc158300830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31" w:history="1">
            <w:r w:rsidRPr="007F6838">
              <w:rPr>
                <w:rStyle w:val="aff4"/>
                <w:noProof/>
                <w:color w:val="auto"/>
              </w:rPr>
      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_Toc158300831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32" w:history="1">
            <w:r w:rsidRPr="007F6838">
              <w:rPr>
                <w:rStyle w:val="aff4"/>
                <w:noProof/>
                <w:color w:val="auto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_Toc158300832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7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58300833" w:history="1">
            <w:r w:rsidRPr="007F6838">
              <w:rPr>
                <w:rStyle w:val="aff4"/>
                <w:noProof/>
                <w:color w:val="auto"/>
              </w:rPr>
              <w:t>5.1. Содержание дисциплины</w:t>
            </w:r>
            <w:r w:rsidRPr="007F6838">
              <w:rPr>
                <w:noProof/>
                <w:webHidden/>
              </w:rPr>
              <w:tab/>
            </w:r>
            <w:r w:rsidRPr="007F6838">
              <w:rPr>
                <w:noProof/>
                <w:webHidden/>
              </w:rPr>
              <w:fldChar w:fldCharType="begin"/>
            </w:r>
            <w:r w:rsidRPr="007F6838">
              <w:rPr>
                <w:noProof/>
                <w:webHidden/>
              </w:rPr>
              <w:instrText xml:space="preserve"> PAGEREF _Toc158300833 \h </w:instrText>
            </w:r>
            <w:r w:rsidRPr="007F6838">
              <w:rPr>
                <w:noProof/>
                <w:webHidden/>
              </w:rPr>
            </w:r>
            <w:r w:rsidRPr="007F6838">
              <w:rPr>
                <w:noProof/>
                <w:webHidden/>
              </w:rPr>
              <w:fldChar w:fldCharType="separate"/>
            </w:r>
            <w:r w:rsidRPr="007F6838">
              <w:rPr>
                <w:noProof/>
                <w:webHidden/>
              </w:rPr>
              <w:t>7</w:t>
            </w:r>
            <w:r w:rsidRPr="007F6838">
              <w:rPr>
                <w:noProof/>
                <w:webHidden/>
              </w:rPr>
              <w:fldChar w:fldCharType="end"/>
            </w:r>
          </w:hyperlink>
        </w:p>
        <w:p w:rsidR="007F6838" w:rsidRPr="007F6838" w:rsidRDefault="007F683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58300834" w:history="1">
            <w:r w:rsidRPr="007F6838">
              <w:rPr>
                <w:rStyle w:val="aff4"/>
                <w:noProof/>
                <w:color w:val="auto"/>
              </w:rPr>
              <w:t>5.2. Учебно-тематический план</w:t>
            </w:r>
            <w:r w:rsidRPr="007F6838">
              <w:rPr>
                <w:noProof/>
                <w:webHidden/>
              </w:rPr>
              <w:tab/>
            </w:r>
            <w:r w:rsidRPr="007F6838">
              <w:rPr>
                <w:noProof/>
                <w:webHidden/>
              </w:rPr>
              <w:fldChar w:fldCharType="begin"/>
            </w:r>
            <w:r w:rsidRPr="007F6838">
              <w:rPr>
                <w:noProof/>
                <w:webHidden/>
              </w:rPr>
              <w:instrText xml:space="preserve"> PAGEREF _Toc158300834 \h </w:instrText>
            </w:r>
            <w:r w:rsidRPr="007F6838">
              <w:rPr>
                <w:noProof/>
                <w:webHidden/>
              </w:rPr>
            </w:r>
            <w:r w:rsidRPr="007F6838">
              <w:rPr>
                <w:noProof/>
                <w:webHidden/>
              </w:rPr>
              <w:fldChar w:fldCharType="separate"/>
            </w:r>
            <w:r w:rsidRPr="007F6838">
              <w:rPr>
                <w:noProof/>
                <w:webHidden/>
              </w:rPr>
              <w:t>12</w:t>
            </w:r>
            <w:r w:rsidRPr="007F6838">
              <w:rPr>
                <w:noProof/>
                <w:webHidden/>
              </w:rPr>
              <w:fldChar w:fldCharType="end"/>
            </w:r>
          </w:hyperlink>
        </w:p>
        <w:p w:rsidR="007F6838" w:rsidRPr="007F6838" w:rsidRDefault="007F683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58300835" w:history="1">
            <w:r w:rsidRPr="007F6838">
              <w:rPr>
                <w:rStyle w:val="aff4"/>
                <w:noProof/>
                <w:color w:val="auto"/>
              </w:rPr>
              <w:t>5.3. Содержание семинаров, практических занятий</w:t>
            </w:r>
            <w:r w:rsidRPr="007F6838">
              <w:rPr>
                <w:noProof/>
                <w:webHidden/>
              </w:rPr>
              <w:tab/>
            </w:r>
            <w:r w:rsidRPr="007F6838">
              <w:rPr>
                <w:noProof/>
                <w:webHidden/>
              </w:rPr>
              <w:fldChar w:fldCharType="begin"/>
            </w:r>
            <w:r w:rsidRPr="007F6838">
              <w:rPr>
                <w:noProof/>
                <w:webHidden/>
              </w:rPr>
              <w:instrText xml:space="preserve"> PAGEREF _Toc158300835 \h </w:instrText>
            </w:r>
            <w:r w:rsidRPr="007F6838">
              <w:rPr>
                <w:noProof/>
                <w:webHidden/>
              </w:rPr>
            </w:r>
            <w:r w:rsidRPr="007F6838">
              <w:rPr>
                <w:noProof/>
                <w:webHidden/>
              </w:rPr>
              <w:fldChar w:fldCharType="separate"/>
            </w:r>
            <w:r w:rsidRPr="007F6838">
              <w:rPr>
                <w:noProof/>
                <w:webHidden/>
              </w:rPr>
              <w:t>13</w:t>
            </w:r>
            <w:r w:rsidRPr="007F6838">
              <w:rPr>
                <w:noProof/>
                <w:webHidden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36" w:history="1">
            <w:r w:rsidRPr="007F6838">
              <w:rPr>
                <w:rStyle w:val="aff4"/>
                <w:noProof/>
                <w:color w:val="auto"/>
              </w:rPr>
              <w:t>6. Перечень учебно-методического обеспечения для самостоятельной работы обучающихся по дисциплине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_Toc158300836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18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58300837" w:history="1">
            <w:r w:rsidRPr="007F6838">
              <w:rPr>
                <w:rStyle w:val="aff4"/>
                <w:noProof/>
                <w:color w:val="auto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Pr="007F6838">
              <w:rPr>
                <w:noProof/>
                <w:webHidden/>
              </w:rPr>
              <w:tab/>
            </w:r>
            <w:r w:rsidRPr="007F6838">
              <w:rPr>
                <w:noProof/>
                <w:webHidden/>
              </w:rPr>
              <w:fldChar w:fldCharType="begin"/>
            </w:r>
            <w:r w:rsidRPr="007F6838">
              <w:rPr>
                <w:noProof/>
                <w:webHidden/>
              </w:rPr>
              <w:instrText xml:space="preserve"> PAGEREF _Toc158300837 \h </w:instrText>
            </w:r>
            <w:r w:rsidRPr="007F6838">
              <w:rPr>
                <w:noProof/>
                <w:webHidden/>
              </w:rPr>
            </w:r>
            <w:r w:rsidRPr="007F6838">
              <w:rPr>
                <w:noProof/>
                <w:webHidden/>
              </w:rPr>
              <w:fldChar w:fldCharType="separate"/>
            </w:r>
            <w:r w:rsidRPr="007F6838">
              <w:rPr>
                <w:noProof/>
                <w:webHidden/>
              </w:rPr>
              <w:t>18</w:t>
            </w:r>
            <w:r w:rsidRPr="007F6838">
              <w:rPr>
                <w:noProof/>
                <w:webHidden/>
              </w:rPr>
              <w:fldChar w:fldCharType="end"/>
            </w:r>
          </w:hyperlink>
        </w:p>
        <w:p w:rsidR="007F6838" w:rsidRPr="007F6838" w:rsidRDefault="007F683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158300838" w:history="1">
            <w:r w:rsidRPr="007F6838">
              <w:rPr>
                <w:rStyle w:val="aff4"/>
                <w:noProof/>
                <w:color w:val="auto"/>
              </w:rPr>
              <w:t>6.2. Перечень вопросов, заданий, тем для подготовки к текущему контролю</w:t>
            </w:r>
            <w:r w:rsidRPr="007F6838">
              <w:rPr>
                <w:noProof/>
                <w:webHidden/>
              </w:rPr>
              <w:tab/>
            </w:r>
            <w:r w:rsidRPr="007F6838">
              <w:rPr>
                <w:noProof/>
                <w:webHidden/>
              </w:rPr>
              <w:fldChar w:fldCharType="begin"/>
            </w:r>
            <w:r w:rsidRPr="007F6838">
              <w:rPr>
                <w:noProof/>
                <w:webHidden/>
              </w:rPr>
              <w:instrText xml:space="preserve"> PAGEREF _Toc158300838 \h </w:instrText>
            </w:r>
            <w:r w:rsidRPr="007F6838">
              <w:rPr>
                <w:noProof/>
                <w:webHidden/>
              </w:rPr>
            </w:r>
            <w:r w:rsidRPr="007F6838">
              <w:rPr>
                <w:noProof/>
                <w:webHidden/>
              </w:rPr>
              <w:fldChar w:fldCharType="separate"/>
            </w:r>
            <w:r w:rsidRPr="007F6838">
              <w:rPr>
                <w:noProof/>
                <w:webHidden/>
              </w:rPr>
              <w:t>22</w:t>
            </w:r>
            <w:r w:rsidRPr="007F6838">
              <w:rPr>
                <w:noProof/>
                <w:webHidden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39" w:history="1">
            <w:r w:rsidRPr="007F6838">
              <w:rPr>
                <w:rStyle w:val="aff4"/>
                <w:noProof/>
                <w:color w:val="auto"/>
              </w:rPr>
              <w:t>7. Фонд оценочных средств для проведения промежуточной аттестации обучающихся по дисциплине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_Toc158300839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25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0" w:history="1">
            <w:r w:rsidRPr="007F6838">
              <w:rPr>
                <w:rStyle w:val="aff4"/>
                <w:noProof/>
                <w:color w:val="auto"/>
              </w:rPr>
              <w:t>8. Перечень основной и дополнительной учебной литературы, необходимой для освоения дисциплины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_Toc158300840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62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1" w:history="1">
            <w:r w:rsidRPr="007F6838">
              <w:rPr>
                <w:rStyle w:val="aff4"/>
                <w:noProof/>
                <w:color w:val="auto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_Toc158300841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65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2" w:history="1">
            <w:r w:rsidRPr="007F6838">
              <w:rPr>
                <w:rStyle w:val="aff4"/>
                <w:noProof/>
                <w:color w:val="auto"/>
              </w:rPr>
              <w:t>10. Методические указания для обучающихся по освоению дисциплины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_Toc158300842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66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3" w:history="1">
            <w:r w:rsidRPr="007F6838">
              <w:rPr>
                <w:rStyle w:val="aff4"/>
                <w:noProof/>
                <w:color w:val="auto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_Toc158300843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66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4" w:history="1">
            <w:r w:rsidRPr="007F6838">
              <w:rPr>
                <w:rStyle w:val="aff4"/>
                <w:noProof/>
                <w:color w:val="auto"/>
              </w:rPr>
              <w:t>11. 1. Комплект лицензионного программного обес</w:t>
            </w:r>
            <w:bookmarkStart w:id="1" w:name="_GoBack"/>
            <w:bookmarkEnd w:id="1"/>
            <w:r w:rsidRPr="007F6838">
              <w:rPr>
                <w:rStyle w:val="aff4"/>
                <w:noProof/>
                <w:color w:val="auto"/>
              </w:rPr>
              <w:t>печения: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_Toc158300844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66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5" w:history="1">
            <w:r w:rsidRPr="007F6838">
              <w:rPr>
                <w:rStyle w:val="aff4"/>
                <w:noProof/>
                <w:color w:val="auto"/>
              </w:rPr>
              <w:t>11.2. Современные профессиональные базы данных и информационные справочные системы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_Toc158300845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66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7F6838" w:rsidRPr="007F6838" w:rsidRDefault="007F683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0"/>
              <w:sz w:val="22"/>
              <w:szCs w:val="22"/>
            </w:rPr>
          </w:pPr>
          <w:hyperlink w:anchor="_Toc158300846" w:history="1">
            <w:r w:rsidRPr="007F6838">
              <w:rPr>
                <w:rStyle w:val="aff4"/>
                <w:noProof/>
                <w:color w:val="auto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Pr="007F6838">
              <w:rPr>
                <w:noProof/>
                <w:webHidden/>
                <w:color w:val="auto"/>
              </w:rPr>
              <w:tab/>
            </w:r>
            <w:r w:rsidRPr="007F6838">
              <w:rPr>
                <w:noProof/>
                <w:webHidden/>
                <w:color w:val="auto"/>
              </w:rPr>
              <w:fldChar w:fldCharType="begin"/>
            </w:r>
            <w:r w:rsidRPr="007F6838">
              <w:rPr>
                <w:noProof/>
                <w:webHidden/>
                <w:color w:val="auto"/>
              </w:rPr>
              <w:instrText xml:space="preserve"> PAGEREF _Toc158300846 \h </w:instrText>
            </w:r>
            <w:r w:rsidRPr="007F6838">
              <w:rPr>
                <w:noProof/>
                <w:webHidden/>
                <w:color w:val="auto"/>
              </w:rPr>
            </w:r>
            <w:r w:rsidRPr="007F6838">
              <w:rPr>
                <w:noProof/>
                <w:webHidden/>
                <w:color w:val="auto"/>
              </w:rPr>
              <w:fldChar w:fldCharType="separate"/>
            </w:r>
            <w:r w:rsidRPr="007F6838">
              <w:rPr>
                <w:noProof/>
                <w:webHidden/>
                <w:color w:val="auto"/>
              </w:rPr>
              <w:t>67</w:t>
            </w:r>
            <w:r w:rsidRPr="007F6838">
              <w:rPr>
                <w:noProof/>
                <w:webHidden/>
                <w:color w:val="auto"/>
              </w:rPr>
              <w:fldChar w:fldCharType="end"/>
            </w:r>
          </w:hyperlink>
        </w:p>
        <w:p w:rsidR="002A6BE5" w:rsidRDefault="00555006">
          <w:pPr>
            <w:rPr>
              <w:sz w:val="26"/>
              <w:szCs w:val="26"/>
            </w:rPr>
          </w:pPr>
          <w:r>
            <w:fldChar w:fldCharType="end"/>
          </w:r>
        </w:p>
      </w:sdtContent>
    </w:sdt>
    <w:p w:rsidR="002A6BE5" w:rsidRDefault="00555006">
      <w:pPr>
        <w:pStyle w:val="1"/>
        <w:tabs>
          <w:tab w:val="left" w:pos="2235"/>
        </w:tabs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  <w:sectPr w:rsidR="002A6BE5">
          <w:headerReference w:type="default" r:id="rId8"/>
          <w:footerReference w:type="default" r:id="rId9"/>
          <w:pgSz w:w="11906" w:h="16838"/>
          <w:pgMar w:top="765" w:right="850" w:bottom="1134" w:left="1701" w:header="708" w:footer="708" w:gutter="0"/>
          <w:cols w:space="720"/>
          <w:formProt w:val="0"/>
          <w:docGrid w:linePitch="360"/>
        </w:sect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ab/>
      </w:r>
    </w:p>
    <w:p w:rsidR="002A6BE5" w:rsidRDefault="002A6BE5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158300828"/>
      <w:r>
        <w:rPr>
          <w:rFonts w:ascii="Times New Roman" w:hAnsi="Times New Roman" w:cs="Times New Roman"/>
          <w:b/>
          <w:color w:val="auto"/>
          <w:sz w:val="28"/>
          <w:szCs w:val="28"/>
        </w:rPr>
        <w:t>1. Наименование дисциплины</w:t>
      </w:r>
      <w:bookmarkEnd w:id="2"/>
    </w:p>
    <w:p w:rsidR="002A6BE5" w:rsidRDefault="00555006">
      <w:pPr>
        <w:keepNext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«Оценка финансовой устойчивости коммерческого банка»</w:t>
      </w:r>
    </w:p>
    <w:p w:rsidR="002A6BE5" w:rsidRDefault="002A6BE5">
      <w:pPr>
        <w:keepNext/>
        <w:spacing w:line="360" w:lineRule="auto"/>
        <w:ind w:firstLine="709"/>
        <w:jc w:val="both"/>
        <w:rPr>
          <w:bCs/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" w:name="_Toc158300829"/>
      <w:r>
        <w:rPr>
          <w:rFonts w:ascii="Times New Roman" w:hAnsi="Times New Roman" w:cs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3"/>
    </w:p>
    <w:p w:rsidR="002A6BE5" w:rsidRDefault="00555006">
      <w:pPr>
        <w:tabs>
          <w:tab w:val="left" w:pos="540"/>
        </w:tabs>
        <w:contextualSpacing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</w:t>
      </w:r>
      <w:r>
        <w:rPr>
          <w:sz w:val="28"/>
          <w:szCs w:val="28"/>
        </w:rPr>
        <w:t>Таблица 1</w:t>
      </w:r>
    </w:p>
    <w:tbl>
      <w:tblPr>
        <w:tblW w:w="989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417"/>
        <w:gridCol w:w="2442"/>
        <w:gridCol w:w="2663"/>
        <w:gridCol w:w="3373"/>
      </w:tblGrid>
      <w:tr w:rsidR="002A6BE5"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Код компетенции</w:t>
            </w: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Наименование компетенции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компетенции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rPr>
                <w:b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2A6BE5"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ПК-2</w:t>
            </w: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Способность устанавливать предельно допустимый уровень риска на стратегическом уровне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Определяет предел допустимого риска банка с учетом изменяющихся внешних факторов и существенности риска для конкретного банка.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2. Обосновывает допустимый предел риска для стратегического уровня и риск-аппетита банка.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1.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оценки различных банковских рисков;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прогнозирования величины базовых индикаторов финансового состояния банка,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color w:val="FF0000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>использовать полученные знания для определения перспектив деятельности банка, ставить и формализовать задачи по повышению уровня его финансовой устойчивости.</w:t>
            </w:r>
          </w:p>
        </w:tc>
      </w:tr>
      <w:tr w:rsidR="002A6BE5"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ПК-4</w:t>
            </w: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Способность осуществлять контроль и координацию деятельности систем внутреннего контроля на всех уровнях управления банком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Определяет источники, содержащие наиболее полную и достоверную информацию о работе объекта внутреннего контроля.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2. Выявляет и оценивает условия, способствующие возникновению значимых рисков и их трансформации в рисковые события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1.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финансового планирования в коммерческом банке;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составлять финансовые планы банка;</w:t>
            </w:r>
          </w:p>
          <w:p w:rsidR="002A6BE5" w:rsidRDefault="002A6BE5">
            <w:pPr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виды банковских рисков и их влияние на финансовую устойчивость банка,</w:t>
            </w:r>
          </w:p>
          <w:p w:rsidR="002A6BE5" w:rsidRDefault="00555006">
            <w:pPr>
              <w:jc w:val="both"/>
              <w:rPr>
                <w:color w:val="FF0000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применять современный математический </w:t>
            </w:r>
            <w:r>
              <w:lastRenderedPageBreak/>
              <w:t>инструментарий для количественной оценки рисков банка и выбора способов из минимизации.</w:t>
            </w:r>
          </w:p>
        </w:tc>
      </w:tr>
      <w:tr w:rsidR="002A6BE5"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lastRenderedPageBreak/>
              <w:t>ПКН-2</w:t>
            </w: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 xml:space="preserve">Способность применять продвинутые современные инструменты и методы анализа финансово-кредитной сферы, финансов государственного и негосударственного секторов экономики для целей эффективного управления финансовыми ресурсами, решения проектно-экономических задач, в том числе в условиях цифровой экономики и развития </w:t>
            </w:r>
            <w:proofErr w:type="spellStart"/>
            <w:r>
              <w:t>Финтеха</w:t>
            </w:r>
            <w:proofErr w:type="spellEnd"/>
            <w:r>
              <w:t>, разработки механизмов монетарного и финансового регулирования, как на уровне отдельных организаций и институтов финансового рынка, так и на уровне публично-правовых образований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Владеет современными инструментами и методами анализа и регулирования финансов государственного и негосударственного секторов экономики, деятельности институтов финансов-кредитной сферы.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2. Демонстрирует способность решения проектно-экономических задач в профессиональной деятельности.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 xml:space="preserve">3. Демонстрирует освоение инструментов </w:t>
            </w:r>
            <w:proofErr w:type="spellStart"/>
            <w:r>
              <w:t>Финтеха</w:t>
            </w:r>
            <w:proofErr w:type="spellEnd"/>
            <w:r>
              <w:t>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lastRenderedPageBreak/>
              <w:t xml:space="preserve">4. Владеет методами анализа </w:t>
            </w:r>
            <w:r>
              <w:rPr>
                <w:lang w:val="en-US"/>
              </w:rPr>
              <w:t>Big</w:t>
            </w:r>
            <w:r>
              <w:t xml:space="preserve"> </w:t>
            </w:r>
            <w:r>
              <w:rPr>
                <w:lang w:val="en-US"/>
              </w:rPr>
              <w:t>Data</w:t>
            </w:r>
            <w:r>
              <w:t>, использует для решения профессиональных задач на микро-, мезо- и макроуровнях, в т.ч. на уровне финансового рынка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направления и методы анализа и оценки финансового состояния коммерческого банка;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- возможности приложений для командной работы над проектами (</w:t>
            </w:r>
            <w:proofErr w:type="spellStart"/>
            <w:r>
              <w:t>YouGile</w:t>
            </w:r>
            <w:proofErr w:type="spellEnd"/>
            <w:r>
              <w:t>, Яндекс Документы);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правильно интерпретировать значения рассчитанных показателей, оценивать их взаимную связь;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представлять результаты оценки финансовой устойчивости банков различным категориям пользователей (руководству банка, инвесторам, органам надзора) с применением традиционных программ и современных приложений для бизнес-аналитики (</w:t>
            </w:r>
            <w:proofErr w:type="spellStart"/>
            <w:r>
              <w:t>Yandex</w:t>
            </w:r>
            <w:proofErr w:type="spellEnd"/>
            <w:r>
              <w:t xml:space="preserve"> </w:t>
            </w:r>
            <w:proofErr w:type="spellStart"/>
            <w:r>
              <w:t>DataLens</w:t>
            </w:r>
            <w:proofErr w:type="spellEnd"/>
            <w:r>
              <w:t xml:space="preserve">, </w:t>
            </w:r>
            <w:proofErr w:type="spellStart"/>
            <w:r>
              <w:t>Power</w:t>
            </w:r>
            <w:proofErr w:type="spellEnd"/>
            <w:r>
              <w:t xml:space="preserve"> BI </w:t>
            </w:r>
            <w:proofErr w:type="spellStart"/>
            <w:r>
              <w:t>Desktop</w:t>
            </w:r>
            <w:proofErr w:type="spellEnd"/>
            <w:r>
              <w:t>).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3.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4.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 xml:space="preserve">: - основные направления применения технологий больших данных и </w:t>
            </w:r>
            <w:r>
              <w:lastRenderedPageBreak/>
              <w:t>искусственного интеллекта для оценки финансовой устойчивости банков,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- источники больших данных о финансовом и рыночном положении банка (analizbankov.ru, cbr.ru);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данные о финансовом состоянии банка для определения перспектив его развития;</w:t>
            </w:r>
          </w:p>
        </w:tc>
      </w:tr>
      <w:tr w:rsidR="002A6BE5"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lastRenderedPageBreak/>
              <w:t>ПКН-3</w:t>
            </w: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Способность проводить анализ, обобщать и критически оценивать полученные результаты исследования для разработки финансовых аспектов перспективных направлений инновационного развития, минимизации рисков, достижения финансовой устойчивости организаций (включая финансово-кредитные организации), долгосрочной устойчивости бюджетной системы, составления финансовых обзоров, экспертно-аналитических заключений, отчетов и  научных публикаций в области финансов и кредита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Владеет методами прикладных научных исследований в профессиональной сфере.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2. Применяет современные методы анализа и оценки рисков деятельности организаций (включая финансово-кредитные организации), бюджетных рисков и предлагает решения по их минимизации в контексте достижения финансовой стабильности и долгосрочной устойчивости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3. Разрабатывает направления инновационного развития как организаций (включая финансово-кредитные организации), отдельных продуктов и услуг, так и публично-правовых образований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4. Оформляет результаты анализа и оценки в форме финансовых обзоров, экспертно-аналитических заключений, отчетов и научных публикаций.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сходства и различия российских и зарубежных методик оценки перспективной финансовой устойчивости коммерческих банков;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находить и обобщать информацию, необходимую для проведения анализа и оценки финансового состояния коммерческого банка;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особенности российских и зарубежных моделей оценки финансовой устойчивости банков, применяемых органами банковского надзора,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проводить комплексный анализ и интерпретацию финансовой, бухгалтерской и иной информации для оценки перспектив деятельности кредитной организации.</w:t>
            </w:r>
          </w:p>
          <w:p w:rsidR="002A6BE5" w:rsidRDefault="002A6BE5">
            <w:pPr>
              <w:jc w:val="both"/>
              <w:rPr>
                <w:b/>
                <w:sz w:val="28"/>
                <w:szCs w:val="28"/>
              </w:rPr>
            </w:pPr>
          </w:p>
          <w:p w:rsidR="002A6BE5" w:rsidRDefault="002A6BE5">
            <w:pPr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3.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теоретические, методологические и организационные подходы к оценке финансовой устойчивости коммерческого банка и перспектив его деятельности;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прогнозировать уровень финансовой устойчивости коммерческого </w:t>
            </w:r>
            <w:r>
              <w:lastRenderedPageBreak/>
              <w:t>банка на различных горизонтах планирования;</w:t>
            </w:r>
          </w:p>
          <w:p w:rsidR="002A6BE5" w:rsidRDefault="002A6BE5">
            <w:pPr>
              <w:jc w:val="both"/>
              <w:rPr>
                <w:b/>
                <w:sz w:val="28"/>
                <w:szCs w:val="28"/>
              </w:rPr>
            </w:pP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t>4.</w:t>
            </w:r>
          </w:p>
          <w:p w:rsidR="002A6BE5" w:rsidRDefault="00555006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теоретические, методологические и организационные подходы к оценке финансовой устойчивости коммерческого банка и перспектив его деятельности,</w:t>
            </w:r>
          </w:p>
          <w:p w:rsidR="002A6BE5" w:rsidRDefault="00555006">
            <w:pPr>
              <w:jc w:val="both"/>
              <w:rPr>
                <w:color w:val="FF0000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составлять мотивированные заключения и аналитические записки о различных сторонах деятельности банка.</w:t>
            </w:r>
          </w:p>
        </w:tc>
      </w:tr>
    </w:tbl>
    <w:p w:rsidR="002A6BE5" w:rsidRDefault="002A6BE5">
      <w:pPr>
        <w:tabs>
          <w:tab w:val="left" w:pos="540"/>
        </w:tabs>
        <w:contextualSpacing/>
        <w:jc w:val="both"/>
        <w:rPr>
          <w:b/>
          <w:sz w:val="28"/>
          <w:szCs w:val="28"/>
        </w:rPr>
      </w:pPr>
    </w:p>
    <w:p w:rsidR="002A6BE5" w:rsidRDefault="002A6BE5">
      <w:pPr>
        <w:tabs>
          <w:tab w:val="left" w:pos="540"/>
        </w:tabs>
        <w:contextualSpacing/>
        <w:jc w:val="both"/>
        <w:rPr>
          <w:b/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158300830"/>
      <w:r>
        <w:rPr>
          <w:rFonts w:ascii="Times New Roman" w:hAnsi="Times New Roman" w:cs="Times New Roman"/>
          <w:b/>
          <w:color w:val="auto"/>
          <w:sz w:val="28"/>
          <w:szCs w:val="28"/>
        </w:rPr>
        <w:t>3. Место дисциплины в структуре образовательной программы</w:t>
      </w:r>
      <w:bookmarkEnd w:id="4"/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Дисциплина «Оценка финансовой устойчивости коммерческого банка» является дисциплиной модуля направленности программы магистратуры «Банковское дело и риск-менеджмент» направления подготовки 38.04.08 «Финансы и кредит». </w:t>
      </w: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158300831"/>
      <w:r>
        <w:rPr>
          <w:rFonts w:ascii="Times New Roman" w:hAnsi="Times New Roman" w:cs="Times New Roman"/>
          <w:b/>
          <w:color w:val="auto"/>
          <w:sz w:val="28"/>
          <w:szCs w:val="28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5"/>
    </w:p>
    <w:p w:rsidR="002A6BE5" w:rsidRDefault="00555006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p w:rsidR="002A6BE5" w:rsidRDefault="002A6BE5">
      <w:pPr>
        <w:rPr>
          <w:sz w:val="28"/>
          <w:szCs w:val="28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647"/>
        <w:gridCol w:w="1559"/>
        <w:gridCol w:w="1448"/>
        <w:gridCol w:w="1504"/>
      </w:tblGrid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Вид учебной работы   по дисциплине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</w:t>
            </w:r>
          </w:p>
          <w:p w:rsidR="002A6BE5" w:rsidRDefault="00555006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Модуль 3</w:t>
            </w:r>
          </w:p>
          <w:p w:rsidR="002A6BE5" w:rsidRDefault="00555006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часах)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Модуль 4</w:t>
            </w:r>
          </w:p>
          <w:p w:rsidR="002A6BE5" w:rsidRDefault="00555006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часах)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Общая трудоемкость дисциплины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/ 144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Лекции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текущего контроля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</w:t>
            </w:r>
          </w:p>
        </w:tc>
      </w:tr>
      <w:tr w:rsidR="002A6BE5"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Зачет, экзамен</w:t>
            </w:r>
          </w:p>
        </w:tc>
        <w:tc>
          <w:tcPr>
            <w:tcW w:w="1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Зачет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</w:tr>
    </w:tbl>
    <w:p w:rsidR="002A6BE5" w:rsidRDefault="002A6BE5">
      <w:pPr>
        <w:jc w:val="both"/>
        <w:rPr>
          <w:b/>
          <w:bCs/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158300832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6"/>
    </w:p>
    <w:p w:rsidR="002A6BE5" w:rsidRDefault="00555006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158300833"/>
      <w:r>
        <w:rPr>
          <w:rFonts w:ascii="Times New Roman" w:hAnsi="Times New Roman" w:cs="Times New Roman"/>
          <w:b/>
          <w:color w:val="auto"/>
          <w:sz w:val="28"/>
          <w:szCs w:val="28"/>
        </w:rPr>
        <w:t>5.1. Содержание дисциплины</w:t>
      </w:r>
      <w:bookmarkEnd w:id="7"/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1. Содержание и факторы финансовой устойчивости банка.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«финансовое состояние», «финансовая устойчивость», «финансовая стабильность», «экономическое положение» банка. Концептуальные подходы трактовки этих понятий. Признаки финансовой устойчивости коммерческого банка. Внутренние, внешние, региональные факторы финансовой устойчивости коммерческого банка.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Взаимосвязь финансовой устойчивости коммерческого банка с устойчивостью банковской системы.</w:t>
      </w: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2. Методические и организационные основы финансовой устойчивости банка.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Характеристика системы оценки финансовой устойчивости банка и ее элементов. Цель оценки, субъекты, объект, и принципы оценки финансовой устойчивости коммерческого банка.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Критерии и показатели оценки финансовой устойчивости кредитной организации. Модели оценки финансовой устойчивости банка, их классификация. Особенности рейтинговых моделей, экспертных и смешанных. </w:t>
      </w:r>
    </w:p>
    <w:p w:rsidR="002A6BE5" w:rsidRDefault="00555006">
      <w:pPr>
        <w:pStyle w:val="Style23"/>
        <w:widowControl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Дифференциация кредитных организаций по степени финансовой устойчивости, характеристика классификационных групп устойчивости.</w:t>
      </w:r>
    </w:p>
    <w:p w:rsidR="002A6BE5" w:rsidRDefault="00555006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Блоки оценки финансовой устойчивости кредитной организации: методический, финансовый, нефинансовые и информационный. </w:t>
      </w:r>
    </w:p>
    <w:p w:rsidR="002A6BE5" w:rsidRDefault="00555006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Нормативно-правовая база проведения оценки финансовой устойчивости банка.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Финансовый анализ устойчивости банка. Нефинансовые характеристики устойчивости, критерии оценки. Информационная база проведения оценки. Внешние и внутренние источники информации. </w:t>
      </w:r>
      <w:r>
        <w:rPr>
          <w:sz w:val="28"/>
          <w:szCs w:val="28"/>
        </w:rPr>
        <w:lastRenderedPageBreak/>
        <w:t xml:space="preserve">Финансовая и нефинансовая информация. Виды финансовой отчетности, их характеристика.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Источники данных для оценки устойчивости отдельных банков и групп банков (Банк России</w:t>
      </w:r>
      <w:r>
        <w:rPr>
          <w:rStyle w:val="a9"/>
          <w:sz w:val="28"/>
          <w:szCs w:val="28"/>
        </w:rPr>
        <w:footnoteReference w:id="1"/>
      </w:r>
      <w:r>
        <w:rPr>
          <w:sz w:val="28"/>
          <w:szCs w:val="28"/>
        </w:rPr>
        <w:t xml:space="preserve">, портал банковского аналитика). 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Количественные и качественные показатели финансовой устойчивости банка. Группы основных коэффициентов (показателей), их назначение и использование в оценке.</w:t>
      </w:r>
    </w:p>
    <w:p w:rsidR="002A6BE5" w:rsidRDefault="002A6BE5">
      <w:pPr>
        <w:spacing w:line="360" w:lineRule="auto"/>
        <w:jc w:val="both"/>
        <w:rPr>
          <w:b/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3. Нефинансовые факторы финансовой устойчивости банка и их оценка.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 рыночного позиционирования банка. Критерии рыночной позиции банка, ее оценка.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Бизнес-модель банка: понятие, разновидности и риски. Географическая и функциональная диверсификация направлений бизнеса.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Организационная структура банка, ее адаптивность к внешним угрозам. Качество системы управления.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Стратегия развития банка. Виды стратегий. Оценка степени достижимости заявленных целей в стратегии развития.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собственности и деловая репутация. Деловая репутация собственников и руководителей. Наличие конфликта собственников и руководителей. Степень связанности операций банка с бизнесом собственников. Степень раскрытия собственников. Деловая репутация банка.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Банка России к оценке качественных факторов (Указание Банка России № 4336-У от 03.04.2017 «Об оценке экономического положения банков»): оценка качества управления (4 показателя) и оценка структуры собственности (3 показателя).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нефинансовых факторов кредитоспособности банков.</w:t>
      </w:r>
    </w:p>
    <w:p w:rsidR="002A6BE5" w:rsidRDefault="002A6BE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4. Оценка качества активов банка и его рисков.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задачи оценки и анализа качества активов банка. Критерии качества активов. Сравнительная характеристика качества активов баланса банка. Методы оценки активов коммерческого банка. Характеристика взаимосвязи доходности активов и риска. Прямая и обратная зависимость.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кредитного портфеля банка. Сегменты кредитного портфеля и сопутствующие им риски. Качество кредитного портфеля, агрегированная оценка и индивидуальный риск.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Нормативное регулирование кредитного риска. 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лицензией». 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Методика Банка России по оценке качества активов коммерческого банка (Указание от 03.04.2017 г. № 4336-У «Об оценке экономического положения банков»).</w:t>
      </w: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качества активов банков и уровня принятых рисков.</w:t>
      </w:r>
      <w:r>
        <w:t xml:space="preserve"> </w:t>
      </w: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5. Оценка собственного капитала банка и его достаточности.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и структура собственного капитала: источники формирования, качество элементов капитала. Особенности структуры собственного капитала национального банковского сектора и отдельных банков.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достаточности собственного капитала. Факторы, определяющие объем и структуру капитала банка. Оценка достаточности капитала банковской группы, ее особенности. Риск вынужденной финансовой поддержки и его влияние на достаточность капитала банка на соло основе.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Показатели эффективности использования капитала банка. Влияние показателя рентабельности капитала на финансовую устойчивость банка.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Комплексная оценка капитала банка на основе его классификационной </w:t>
      </w:r>
      <w:r>
        <w:rPr>
          <w:sz w:val="28"/>
          <w:szCs w:val="28"/>
        </w:rPr>
        <w:lastRenderedPageBreak/>
        <w:t>группы по методике Банка России (Указание №4336-У) и категории качества внутренних процедур оценки достаточности капитала (ВПОДК), согласно Указанию №3883-У.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достаточности собственного капитала банка. Динамический, структурный, сравнительный анализ структуры капитала банка. Подходы к оценке показателя достаточности капитала рейтинговых агентств.</w:t>
      </w:r>
    </w:p>
    <w:p w:rsidR="002A6BE5" w:rsidRDefault="002A6BE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6. Оценка рентабельности банка.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Виды и источники доходов банка. Факторы влияния на доходность деятельности банка. 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Экономическое содержание показателей доходности и рентабельности деятельности коммерческого банка.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Количественный и качественный анализ доходности деятельности банка. Факторный анализ доходности и затратности операций на основе модели Дюпона. Структурный анализ показателя рентабельности активов (</w:t>
      </w:r>
      <w:r>
        <w:rPr>
          <w:sz w:val="28"/>
          <w:szCs w:val="28"/>
          <w:lang w:val="en-US"/>
        </w:rPr>
        <w:t>ROA</w:t>
      </w:r>
      <w:r>
        <w:rPr>
          <w:sz w:val="28"/>
          <w:szCs w:val="28"/>
        </w:rPr>
        <w:t>).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Взаимосвязь стабильного роста активов и рентабельности деятельности банка. Моделирование доходности активов. </w:t>
      </w:r>
    </w:p>
    <w:p w:rsidR="002A6BE5" w:rsidRDefault="00555006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Показатели оценки доходности банка в соответствии с Указанием Банка России от 03.04.2017 г. № 4336-У «Об оценке экономического положения банков».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доходности и рентабельности деятельности банка.</w:t>
      </w: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 7. </w:t>
      </w:r>
      <w:bookmarkStart w:id="8" w:name="OLE_LINK3"/>
      <w:bookmarkStart w:id="9" w:name="OLE_LINK4"/>
      <w:r>
        <w:rPr>
          <w:b/>
          <w:sz w:val="28"/>
          <w:szCs w:val="28"/>
        </w:rPr>
        <w:t>Оценка привлеченных и заемных ресурсов банка</w:t>
      </w:r>
      <w:bookmarkEnd w:id="8"/>
      <w:bookmarkEnd w:id="9"/>
      <w:r>
        <w:rPr>
          <w:b/>
          <w:sz w:val="28"/>
          <w:szCs w:val="28"/>
        </w:rPr>
        <w:t>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и анализ структуры привлеченных ресурсов банка. Критерии и методы оценки. 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сбалансированности ресурсов и активов банка. Факторы, определяющие оптимальную структуру ресурсов банка. Моделирование </w:t>
      </w:r>
      <w:r>
        <w:rPr>
          <w:sz w:val="28"/>
          <w:szCs w:val="28"/>
        </w:rPr>
        <w:lastRenderedPageBreak/>
        <w:t>структуры ресурсов и активов с учетом регуляторных требований.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привлеченных и заемных средств</w:t>
      </w:r>
      <w:r>
        <w:rPr>
          <w:rStyle w:val="a9"/>
          <w:sz w:val="28"/>
          <w:szCs w:val="28"/>
        </w:rPr>
        <w:footnoteReference w:id="2"/>
      </w:r>
      <w:r>
        <w:rPr>
          <w:sz w:val="28"/>
          <w:szCs w:val="28"/>
        </w:rPr>
        <w:t xml:space="preserve"> банка.</w:t>
      </w: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8. Оценка ликвидности банка.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Понятие ликвидности банка и ликвидности баланса банка. Факторы, влияющие на состояние ликвидности банка.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Ликвидность коммерческого банка и ее связь с финансовой устойчивостью. Основные задачи и источники информации для анализа ликвидности. Методы оценки ликвидности коммерческого банка. Коэффициентный метод и метод разрывов (GAP). Матричный анализ ликвидности коммерческого банка. Анализ выполнения нормативов ликвидности. 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оценки процентного риска при разрывах ликвидности. Методы анализа процентного риска: </w:t>
      </w:r>
      <w:r>
        <w:rPr>
          <w:sz w:val="28"/>
          <w:szCs w:val="28"/>
          <w:lang w:val="en-US"/>
        </w:rPr>
        <w:t>GAP</w:t>
      </w:r>
      <w:r>
        <w:rPr>
          <w:sz w:val="28"/>
          <w:szCs w:val="28"/>
        </w:rPr>
        <w:t>-анализ, имитационное моделирование.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 Банка России к оценке ликвидности банка (Указание 4336-У).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ликвидности банка.</w:t>
      </w: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bookmarkStart w:id="10" w:name="OLE_LINK1"/>
      <w:bookmarkStart w:id="11" w:name="OLE_LINK2"/>
      <w:bookmarkEnd w:id="10"/>
      <w:bookmarkEnd w:id="11"/>
      <w:r>
        <w:rPr>
          <w:b/>
          <w:sz w:val="28"/>
          <w:szCs w:val="28"/>
        </w:rPr>
        <w:t>Тема 9. Комплексная оценка финансовой устойчивости банка и прогноз ее изменения на основе больших данных.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Ретроспективный метод оценки перспектив деятельности банка. Моделирование изменения количественных параметров объема активов и обязательств с учетом рыночных условий и целевых ориентиров деятельности банка. 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представление результатов оценки в виде интерактивных аналитических панелей (</w:t>
      </w:r>
      <w:proofErr w:type="spellStart"/>
      <w:r>
        <w:rPr>
          <w:sz w:val="28"/>
          <w:szCs w:val="28"/>
        </w:rPr>
        <w:t>dashboards</w:t>
      </w:r>
      <w:proofErr w:type="spellEnd"/>
      <w:r>
        <w:rPr>
          <w:sz w:val="28"/>
          <w:szCs w:val="28"/>
        </w:rPr>
        <w:t>) с использованием приложений для бизнес-аналитики (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  <w:r>
        <w:rPr>
          <w:sz w:val="28"/>
          <w:szCs w:val="28"/>
        </w:rPr>
        <w:t xml:space="preserve"> (Россия), </w:t>
      </w:r>
      <w:proofErr w:type="spellStart"/>
      <w:r>
        <w:rPr>
          <w:sz w:val="28"/>
          <w:szCs w:val="28"/>
        </w:rPr>
        <w:t>Power</w:t>
      </w:r>
      <w:proofErr w:type="spellEnd"/>
      <w:r>
        <w:rPr>
          <w:sz w:val="28"/>
          <w:szCs w:val="28"/>
        </w:rPr>
        <w:t xml:space="preserve"> BI </w:t>
      </w:r>
      <w:proofErr w:type="spellStart"/>
      <w:r>
        <w:rPr>
          <w:sz w:val="28"/>
          <w:szCs w:val="28"/>
        </w:rPr>
        <w:t>Desktop</w:t>
      </w:r>
      <w:proofErr w:type="spellEnd"/>
      <w:r>
        <w:rPr>
          <w:sz w:val="28"/>
          <w:szCs w:val="28"/>
        </w:rPr>
        <w:t xml:space="preserve"> (США).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Прогнозирование финансовых показателей деятельности банка на </w:t>
      </w:r>
      <w:r>
        <w:rPr>
          <w:sz w:val="28"/>
          <w:szCs w:val="28"/>
        </w:rPr>
        <w:lastRenderedPageBreak/>
        <w:t>основе методов машинного обучения, встроенных в приложения для бизнес-анализа (</w:t>
      </w:r>
      <w:r>
        <w:rPr>
          <w:sz w:val="28"/>
          <w:szCs w:val="28"/>
          <w:lang w:val="en-US"/>
        </w:rPr>
        <w:t>BI</w:t>
      </w:r>
      <w:r>
        <w:rPr>
          <w:sz w:val="28"/>
          <w:szCs w:val="28"/>
        </w:rPr>
        <w:t xml:space="preserve">-приложения): 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  <w:r>
        <w:rPr>
          <w:sz w:val="28"/>
          <w:szCs w:val="28"/>
        </w:rPr>
        <w:t xml:space="preserve"> (Россия), </w:t>
      </w:r>
      <w:proofErr w:type="spellStart"/>
      <w:r>
        <w:rPr>
          <w:sz w:val="28"/>
          <w:szCs w:val="28"/>
        </w:rPr>
        <w:t>Power</w:t>
      </w:r>
      <w:proofErr w:type="spellEnd"/>
      <w:r>
        <w:rPr>
          <w:sz w:val="28"/>
          <w:szCs w:val="28"/>
        </w:rPr>
        <w:t xml:space="preserve"> BI </w:t>
      </w:r>
      <w:proofErr w:type="spellStart"/>
      <w:r>
        <w:rPr>
          <w:sz w:val="28"/>
          <w:szCs w:val="28"/>
        </w:rPr>
        <w:t>Desktop</w:t>
      </w:r>
      <w:proofErr w:type="spellEnd"/>
      <w:r>
        <w:rPr>
          <w:sz w:val="28"/>
          <w:szCs w:val="28"/>
        </w:rPr>
        <w:t xml:space="preserve"> (США).</w:t>
      </w:r>
    </w:p>
    <w:p w:rsidR="002A6BE5" w:rsidRDefault="00555006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2" w:name="OLE_LINK11"/>
      <w:bookmarkStart w:id="13" w:name="OLE_LINK21"/>
      <w:bookmarkStart w:id="14" w:name="_Toc158300834"/>
      <w:bookmarkEnd w:id="12"/>
      <w:bookmarkEnd w:id="13"/>
      <w:r>
        <w:rPr>
          <w:rFonts w:ascii="Times New Roman" w:hAnsi="Times New Roman" w:cs="Times New Roman"/>
          <w:b/>
          <w:color w:val="auto"/>
          <w:sz w:val="28"/>
          <w:szCs w:val="28"/>
        </w:rPr>
        <w:t>5.2. Учебно-тематический план</w:t>
      </w:r>
      <w:bookmarkEnd w:id="14"/>
    </w:p>
    <w:p w:rsidR="002A6BE5" w:rsidRDefault="00555006">
      <w:pPr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W w:w="5000" w:type="pct"/>
        <w:tblInd w:w="-175" w:type="dxa"/>
        <w:tblLayout w:type="fixed"/>
        <w:tblLook w:val="04A0" w:firstRow="1" w:lastRow="0" w:firstColumn="1" w:lastColumn="0" w:noHBand="0" w:noVBand="1"/>
      </w:tblPr>
      <w:tblGrid>
        <w:gridCol w:w="578"/>
        <w:gridCol w:w="2190"/>
        <w:gridCol w:w="793"/>
        <w:gridCol w:w="918"/>
        <w:gridCol w:w="786"/>
        <w:gridCol w:w="1185"/>
        <w:gridCol w:w="924"/>
        <w:gridCol w:w="1971"/>
      </w:tblGrid>
      <w:tr w:rsidR="002A6BE5">
        <w:tc>
          <w:tcPr>
            <w:tcW w:w="5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п/п</w:t>
            </w:r>
          </w:p>
        </w:tc>
        <w:tc>
          <w:tcPr>
            <w:tcW w:w="21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тем (разделов) дисциплины</w:t>
            </w:r>
          </w:p>
        </w:tc>
        <w:tc>
          <w:tcPr>
            <w:tcW w:w="46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tabs>
                <w:tab w:val="right" w:pos="851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Трудоемкость в часах</w:t>
            </w:r>
          </w:p>
        </w:tc>
        <w:tc>
          <w:tcPr>
            <w:tcW w:w="19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Формы текущего контроля успеваемости</w:t>
            </w:r>
          </w:p>
        </w:tc>
      </w:tr>
      <w:tr w:rsidR="002A6BE5">
        <w:tc>
          <w:tcPr>
            <w:tcW w:w="5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28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Контактная работа - Аудиторная работа</w:t>
            </w:r>
          </w:p>
        </w:tc>
        <w:tc>
          <w:tcPr>
            <w:tcW w:w="9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19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</w:tr>
      <w:tr w:rsidR="002A6BE5">
        <w:tc>
          <w:tcPr>
            <w:tcW w:w="5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Общая, в т.ч.: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Лекции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Семинары, практические   занятия</w:t>
            </w:r>
          </w:p>
        </w:tc>
        <w:tc>
          <w:tcPr>
            <w:tcW w:w="9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19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1. Содержание и факторы финансовой устойчивости банка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2. Методические и организационные основы финансовой устойчивости банка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построение набора банков и выгрузка данных по ним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3.</w:t>
            </w:r>
            <w:r>
              <w:t xml:space="preserve"> </w:t>
            </w:r>
            <w:r>
              <w:rPr>
                <w:sz w:val="20"/>
                <w:szCs w:val="20"/>
              </w:rPr>
              <w:t>Нефинансовые факторы финансовой устойчивости банка и их оценка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Дискуссия;</w:t>
            </w:r>
          </w:p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ситуационных задач на примере российских банков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4. Оценка качества активов банка и его рисков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 по анализу качества активов реальных банков, построение и проверка интерактивных панелей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5. Оценка собственного капитала банка и его достаточности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Сбор данных по заданию с помощью открытых источников данных, решение ситуационных задач по анализу структуры и достаточности капитала банков, построение и проверка интерактивных панелей</w:t>
            </w:r>
          </w:p>
        </w:tc>
      </w:tr>
      <w:tr w:rsidR="002A6BE5">
        <w:trPr>
          <w:trHeight w:val="1108"/>
        </w:trPr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6. Оценка рентабельности банка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 по анализу рентабельности российских банков, построение и проверка интерактивных панелей</w:t>
            </w:r>
          </w:p>
        </w:tc>
      </w:tr>
      <w:tr w:rsidR="002A6BE5">
        <w:trPr>
          <w:trHeight w:val="455"/>
        </w:trPr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2A6BE5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ИТОГО по модулю 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2A6BE5">
            <w:pPr>
              <w:jc w:val="center"/>
              <w:rPr>
                <w:sz w:val="20"/>
                <w:szCs w:val="20"/>
              </w:rPr>
            </w:pP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7. Оценка привлеченных и заемных ресурсов банка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задач, построение и проверка интерактивных панелей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8. Оценка ликвидности банка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задач, построение и проверка интерактивных панелей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9. Комплексная оценка финансовой устойчивости банка и прогноз ее изменения на основе больших данных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проведение дебатов, построение интерактивных панелей по результатам комплексного анализа устойчивости банка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ИТОГО по модулю 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2A6BE5">
            <w:pPr>
              <w:rPr>
                <w:sz w:val="20"/>
                <w:szCs w:val="20"/>
              </w:rPr>
            </w:pP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целом по дисциплине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 учебному плану: контрольная работа</w:t>
            </w:r>
          </w:p>
        </w:tc>
      </w:tr>
      <w:tr w:rsidR="002A6BE5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2A6BE5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%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43%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29%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71%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555006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57%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6BE5" w:rsidRDefault="002A6BE5">
            <w:pPr>
              <w:rPr>
                <w:sz w:val="20"/>
                <w:szCs w:val="20"/>
              </w:rPr>
            </w:pPr>
          </w:p>
        </w:tc>
      </w:tr>
    </w:tbl>
    <w:p w:rsidR="002A6BE5" w:rsidRDefault="00555006">
      <w:pPr>
        <w:pStyle w:val="afc"/>
        <w:keepNext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:rsidR="002A6BE5" w:rsidRDefault="002A6BE5">
      <w:pPr>
        <w:pStyle w:val="af4"/>
        <w:jc w:val="both"/>
        <w:rPr>
          <w:b w:val="0"/>
          <w:szCs w:val="28"/>
        </w:rPr>
      </w:pPr>
    </w:p>
    <w:p w:rsidR="002A6BE5" w:rsidRDefault="00555006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158300835"/>
      <w:r>
        <w:rPr>
          <w:rFonts w:ascii="Times New Roman" w:hAnsi="Times New Roman" w:cs="Times New Roman"/>
          <w:b/>
          <w:color w:val="auto"/>
          <w:sz w:val="28"/>
          <w:szCs w:val="28"/>
        </w:rPr>
        <w:t>5.3. Содержание семинаров, практических занятий</w:t>
      </w:r>
      <w:bookmarkEnd w:id="15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2A6BE5" w:rsidRDefault="00555006">
      <w:pPr>
        <w:keepNext/>
        <w:ind w:firstLine="709"/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9570" w:type="dxa"/>
        <w:tblLayout w:type="fixed"/>
        <w:tblLook w:val="04A0" w:firstRow="1" w:lastRow="0" w:firstColumn="1" w:lastColumn="0" w:noHBand="0" w:noVBand="1"/>
      </w:tblPr>
      <w:tblGrid>
        <w:gridCol w:w="1886"/>
        <w:gridCol w:w="4774"/>
        <w:gridCol w:w="2910"/>
      </w:tblGrid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Перечень вопросов для обсуждения на семинарских, практических занятиях, рекомендуемые источники из разделов 8,9 (указывается раздел и порядковый номер источника)</w:t>
            </w:r>
          </w:p>
          <w:p w:rsidR="002A6BE5" w:rsidRDefault="002A6BE5">
            <w:pPr>
              <w:keepNext/>
              <w:jc w:val="both"/>
              <w:rPr>
                <w:b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Формы проведения занятий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 Содержание и факторы финансовой устойчивости банка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Понятие финансовой устойчивости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Общая характеристика типов устойчивости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Внешние и внутренние факторы финансовой устойчивости.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6, 8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, 3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трактовке финансовой устойчивости и ее факторам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2. Методические и организационные основы финансовой устойчивости банка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Система оценки финансовой устойчивости кредитной организации, ее основные элементы.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Типы моделей оценки финансовой устойчивости банка.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Базовые подходы и основные направления анализа финансового состояния банка.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Особенности анализа структуры баланса банка в российской и зарубежной практике.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Инструментарий баз данных Банка России (cbr.ru) и портала банковского аналитика (analizbankov.ru) для сбора и обработки информации об отдельном банке или наборе банков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Сквозные цифровые технологии: понятие, виды и применение в кредитном анализе банков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Цифровые источники структурированных данных для анализа финансовой устойчивости коммерческого банка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Понятие и свойства больших данных. Их особенности в оценке устойчивости банка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Сравнительная характеристика традиционных и современных инструментов анализа финансового состояния банков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Содержание и архитектура данных о кредитных организациях на сайте Банка России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разделы и возможности портала банковского аналитика (analizbankov.ru)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Тактика выбор сопоставимых банков для сравнительного анализа с использованием analizbankov.ru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Группы банков на analizbankov.ru: построение, особенности индикаторов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Встроенные и пользовательские рейтинги банков на analizbankov.ru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6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Особенности подготовки массива данных для обработки в приложениях бизнес-анализа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5, 6, 8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2, 5, 6, 7, 8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Обзор портала банковского аналитика и его возможностей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Обзор структуры данных о кредитных организациях на сайте Банка России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Разбор приемов работы с приложениями для бизнес-аналитики, обзор их возможностей по обработке больших данных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3. Нефинансовые факторы финансовой устойчивости банка и их оценка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Подходы к оценке рыночных позиций банка.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Диверсификация и оценка направлений деловой активности банка.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Способы оценки качества управления (компетентность команды управленцев, система управления рисками и др.).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Стратегия банка и ее оценки в контексте анализа уровня устойчивости банка и </w:t>
            </w:r>
            <w:r>
              <w:rPr>
                <w:sz w:val="22"/>
                <w:szCs w:val="22"/>
              </w:rPr>
              <w:lastRenderedPageBreak/>
              <w:t>перспектив его деятельности.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Оценка структуры собственности банка.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Использование цифровых источников для оценки деловой репутации и уровня акционерных рисков.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7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Подходы Банка России к оценке нефинансовых факторов (Указание 4336-У).</w:t>
            </w:r>
          </w:p>
          <w:p w:rsidR="002A6BE5" w:rsidRDefault="002A6BE5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нормативно-правовые акты: </w:t>
            </w:r>
            <w:r>
              <w:rPr>
                <w:i/>
                <w:sz w:val="22"/>
                <w:szCs w:val="22"/>
                <w:lang w:val="en-US"/>
              </w:rPr>
              <w:t>6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Дискуссия по вопросам темы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Оценка качества активов банка и его рисков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Динамика структуры активов российских коммерческих банков в современных условиях.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Методы оценки качества активов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 xml:space="preserve"> Оценка качества активов по методике Банка России (Указание № 4336-У).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Использование цифровых инструментов для анализа качества активов банка или группы банков.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Подходы рейтинговых агентств к оценке качества активов банков.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Способы оценки уровня принятых банком рисков в контексте изучения уровня его финансовой устойчивости (рыночные риски, операционный риск, система управления рисками).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4, 6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2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активов банка с использованием портала банковского аналитика и других источников.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активов с использованием портала банковского аналитика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proofErr w:type="spellStart"/>
            <w:r>
              <w:rPr>
                <w:sz w:val="22"/>
                <w:szCs w:val="22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(Россия)</w:t>
            </w:r>
            <w:r>
              <w:rPr>
                <w:rStyle w:val="a9"/>
                <w:sz w:val="22"/>
                <w:szCs w:val="22"/>
              </w:rPr>
              <w:footnoteReference w:id="3"/>
            </w:r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Power</w:t>
            </w:r>
            <w:proofErr w:type="spellEnd"/>
            <w:r>
              <w:rPr>
                <w:sz w:val="22"/>
                <w:szCs w:val="22"/>
              </w:rPr>
              <w:t xml:space="preserve"> BI </w:t>
            </w:r>
            <w:proofErr w:type="spellStart"/>
            <w:r>
              <w:rPr>
                <w:sz w:val="22"/>
                <w:szCs w:val="22"/>
              </w:rPr>
              <w:t>Desktop</w:t>
            </w:r>
            <w:proofErr w:type="spellEnd"/>
            <w:r>
              <w:rPr>
                <w:sz w:val="22"/>
                <w:szCs w:val="22"/>
              </w:rPr>
              <w:t xml:space="preserve"> (США)</w:t>
            </w:r>
            <w:r>
              <w:rPr>
                <w:rStyle w:val="a9"/>
                <w:sz w:val="22"/>
                <w:szCs w:val="22"/>
              </w:rPr>
              <w:footnoteReference w:id="4"/>
            </w:r>
            <w:r>
              <w:rPr>
                <w:sz w:val="22"/>
                <w:szCs w:val="22"/>
              </w:rPr>
              <w:t>)</w:t>
            </w:r>
          </w:p>
          <w:p w:rsidR="002A6BE5" w:rsidRDefault="002A6BE5">
            <w:pPr>
              <w:pStyle w:val="afc"/>
              <w:keepNext/>
              <w:tabs>
                <w:tab w:val="left" w:pos="412"/>
              </w:tabs>
              <w:ind w:left="164"/>
              <w:jc w:val="both"/>
              <w:rPr>
                <w:sz w:val="22"/>
                <w:szCs w:val="22"/>
              </w:rPr>
            </w:pP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Оценка собственного капитала банка и его достаточности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Понятие собственного капитала банка и его структуры.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>
              <w:rPr>
                <w:sz w:val="22"/>
                <w:szCs w:val="22"/>
              </w:rPr>
              <w:tab/>
              <w:t>Методы и цель расчета базового, добавочного, основного и дополнительного капитала, собственных средств (капитала)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>Оценка структуры собственного капитала российских банков в современных условиях.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ab/>
              <w:t>Методика Банка России по оценке достаточности собственного капитала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</w:t>
            </w:r>
            <w:r>
              <w:rPr>
                <w:sz w:val="22"/>
                <w:szCs w:val="22"/>
              </w:rPr>
              <w:tab/>
              <w:t xml:space="preserve">Надбавки к нормативу достаточности </w:t>
            </w:r>
            <w:r>
              <w:rPr>
                <w:sz w:val="22"/>
                <w:szCs w:val="22"/>
              </w:rPr>
              <w:lastRenderedPageBreak/>
              <w:t>собственного капитала.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</w:t>
            </w:r>
            <w:r>
              <w:rPr>
                <w:sz w:val="22"/>
                <w:szCs w:val="22"/>
              </w:rPr>
              <w:tab/>
              <w:t>Методика Банка России и по оценке качества капитала банка (Указание №4336-У).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Подходы рейтинговых агентств к оценке качества собственного капитала банков.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tabs>
                <w:tab w:val="left" w:pos="3852"/>
              </w:tabs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1, 4, 6, 7, 9, 10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3, 4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Дискуссия по вопросам темы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капитала банка с использованием портала банковского аналитика и других источников.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Построение набора банков для проведения сравнительного анализа </w:t>
            </w:r>
            <w:r>
              <w:rPr>
                <w:sz w:val="22"/>
                <w:szCs w:val="22"/>
              </w:rPr>
              <w:lastRenderedPageBreak/>
              <w:t>качества собственного капитала и его достаточности с использованием портала банковского аналитика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0"/>
              </w:rPr>
            </w:pPr>
            <w:r>
              <w:rPr>
                <w:sz w:val="22"/>
                <w:szCs w:val="22"/>
              </w:rPr>
              <w:lastRenderedPageBreak/>
              <w:t>Тема 6. Оценка рентабельности банка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Коэффициентный метод оценки уровня доходности и прибыльности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Структурный анализ уровня прибыльности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Подходы Банка России (Указание 4336-У) и рейтинговых агентств к оценке рентабельности банка.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4, 6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структуре доходов и расходов, уровне рентабельности банка с использованием портала банковского аналитика и других источников.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их рентабельности с использованием портала банковского аналитика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7. Оценка привлеченных и заемных ресурсов банка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Динамика структуры и динамики привлеченных</w:t>
            </w:r>
            <w:r>
              <w:rPr>
                <w:sz w:val="22"/>
                <w:szCs w:val="20"/>
              </w:rPr>
              <w:t xml:space="preserve"> и заемных</w:t>
            </w:r>
            <w:r>
              <w:rPr>
                <w:sz w:val="22"/>
                <w:szCs w:val="22"/>
              </w:rPr>
              <w:t xml:space="preserve"> ресурсов коммерческих банков.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Оценка уровня концентрации ресурсов (по категории клиентов, на крупнейших кредиторах, по типу источника, др.)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Оценка стабильности ресурсной базы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Оценка стоимости ресурсной базы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5. Подходы Банка России (Указание 4336-У) и рейтинговых агентств к оценке качества </w:t>
            </w:r>
            <w:r>
              <w:rPr>
                <w:sz w:val="22"/>
                <w:szCs w:val="22"/>
              </w:rPr>
              <w:lastRenderedPageBreak/>
              <w:t>привлеченных и заемных ресурсов банка.</w:t>
            </w: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</w:t>
            </w:r>
            <w:r>
              <w:rPr>
                <w:i/>
                <w:sz w:val="22"/>
                <w:szCs w:val="22"/>
                <w:lang w:val="en-US"/>
              </w:rPr>
              <w:t xml:space="preserve"> </w:t>
            </w:r>
            <w:r>
              <w:rPr>
                <w:i/>
                <w:sz w:val="22"/>
                <w:szCs w:val="22"/>
              </w:rPr>
              <w:t>2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Дискуссия по вопросам темы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привлеченных и заемных ресурсов банка с использованием портала банковского аналитика и других источников.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Построение набора банков для проведения сравнительного анализа качества привлеченных и </w:t>
            </w:r>
            <w:r>
              <w:rPr>
                <w:sz w:val="22"/>
                <w:szCs w:val="22"/>
              </w:rPr>
              <w:lastRenderedPageBreak/>
              <w:t>заемных ресурсов с использованием портала банковского аналитика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8. Оценка ликвидности банка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Особенности расчета норматива краткосрочной ликвидности Н26 (Н27) и норматива чистого стабильного фондирования Н28(29) для системно значимых банков (банковских групп)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Методы оценки уровня ликвидности банка.</w:t>
            </w:r>
          </w:p>
          <w:p w:rsidR="002A6BE5" w:rsidRDefault="00555006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Подходы Банка России (Указание 4336-У) и рейтинговых агентств к оценке ликвидности банка.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2, 3, 4, 6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4, 6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об уровне ликвидности банка с использованием портала банковского аналитика и других источников.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уровня их ликвидности с использованием портала банковского аналитика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A6BE5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9. Комплексная оценка финансовой устойчивости банка и прогноз ее изменения на основе больших данных</w:t>
            </w:r>
          </w:p>
        </w:tc>
        <w:tc>
          <w:tcPr>
            <w:tcW w:w="4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tabs>
                <w:tab w:val="left" w:pos="395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Сравнительная характеристика надзорных методик оценки уровня финансовой устойчивости банков.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Особенности методик российских и зарубежных рейтинговых агентств к оценке уровня кредитоспособности банков.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Возможности приложений для бизнес-аналитики по визуализации данных о финансовой устойчивости банков, а также решению задач кластеризации, прогнозирования на основе методов машинного обучения, заложенных в приложения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  <w:p w:rsidR="002A6BE5" w:rsidRDefault="00555006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6, 8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4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  <w:p w:rsidR="002A6BE5" w:rsidRDefault="002A6BE5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Проведение дебатов по вопросу о возможности применения эконометрических моделей для выявления потенциально слабых банков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Защита контрольных работ по оценке финансовой устойчивости банков.</w:t>
            </w:r>
          </w:p>
          <w:p w:rsidR="002A6BE5" w:rsidRDefault="00555006">
            <w:pPr>
              <w:pStyle w:val="afc"/>
              <w:keepNext/>
              <w:numPr>
                <w:ilvl w:val="0"/>
                <w:numId w:val="3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отображения результатов контрольной работы</w:t>
            </w:r>
          </w:p>
        </w:tc>
      </w:tr>
    </w:tbl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Материалы для подготовки к занятиям могут размещаться в электронной образовательной среде </w:t>
      </w:r>
      <w:r>
        <w:rPr>
          <w:sz w:val="28"/>
          <w:szCs w:val="28"/>
          <w:lang w:val="en-US"/>
        </w:rPr>
        <w:t>LMS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Moodle</w:t>
      </w:r>
      <w:r>
        <w:rPr>
          <w:sz w:val="28"/>
          <w:szCs w:val="28"/>
        </w:rPr>
        <w:t>.</w:t>
      </w: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6" w:name="_Toc158300836"/>
      <w:r>
        <w:rPr>
          <w:rFonts w:ascii="Times New Roman" w:hAnsi="Times New Roman" w:cs="Times New Roman"/>
          <w:b/>
          <w:color w:val="auto"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  <w:bookmarkEnd w:id="16"/>
    </w:p>
    <w:p w:rsidR="002A6BE5" w:rsidRDefault="00555006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7" w:name="_Toc158300837"/>
      <w:r>
        <w:rPr>
          <w:rFonts w:ascii="Times New Roman" w:hAnsi="Times New Roman" w:cs="Times New Roman"/>
          <w:b/>
          <w:color w:val="auto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7"/>
    </w:p>
    <w:p w:rsidR="002A6BE5" w:rsidRDefault="00555006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5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363"/>
        <w:gridCol w:w="3737"/>
        <w:gridCol w:w="3245"/>
      </w:tblGrid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вопросов, отводимых на самостоятельное освоение</w:t>
            </w: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keepNext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внеаудиторной самостоятельной работы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 Содержание и факторы финансовой устойчивости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Соотношение понятий «устойчивости», «стабильность» и «надежность» банка.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 Факторы финансовой устойчивости банков и оценка их значимости (по материалам современных эконометрических исследований)</w:t>
            </w: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рекомендованной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современных публикаций по вопросам темы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 Методические и организационные основы финансовой устойчивости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Организация работы Банка России по оценке финансовой устойчивости поднадзорных банков и банковских групп (нормативная база, задействованные подразделения, источники информации, направления анализа)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Организация деятельности рейтинговых агентств по оценке кредитоспособности банков.</w:t>
            </w:r>
          </w:p>
          <w:p w:rsidR="002A6BE5" w:rsidRDefault="002A6BE5">
            <w:pPr>
              <w:keepNext/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rPr>
                <w:sz w:val="22"/>
                <w:szCs w:val="22"/>
              </w:rPr>
            </w:pPr>
          </w:p>
          <w:p w:rsidR="002A6BE5" w:rsidRDefault="002A6BE5">
            <w:pPr>
              <w:tabs>
                <w:tab w:val="left" w:pos="1155"/>
              </w:tabs>
              <w:rPr>
                <w:sz w:val="22"/>
                <w:szCs w:val="22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рекомендованной литературы;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современных публикаций по вопросам темы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финансовой отчетности банка;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структуры пояснительной записки к финансовой отчетности (по РСБУ и МСФО)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структуры методик кредитных рейтинговых агентств;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дополнительных источников данных о банках (портал арбитражных дел kad.arbitr.ru, центр раскрытия корпоративной информации e-disclosure.ru и др.)</w:t>
            </w:r>
          </w:p>
        </w:tc>
      </w:tr>
      <w:tr w:rsidR="002A6BE5">
        <w:trPr>
          <w:trHeight w:val="2526"/>
        </w:trPr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3. Нефинансовые факторы финансовой устойчивости банка и их оценка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Способы оценки уровня концентрации деловой активности банков на одном или нескольких направлениях (по видам услуг, клиентской группе, регионам присутствия).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нефинансовых факторов.</w:t>
            </w:r>
          </w:p>
          <w:p w:rsidR="002A6BE5" w:rsidRDefault="002A6BE5">
            <w:pPr>
              <w:rPr>
                <w:b/>
                <w:sz w:val="28"/>
                <w:szCs w:val="28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нормативных документов;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выбор банка для проведения оценки его финансовой устойчивости с использованием цифровых технологий (analizbankov.ru, cbr.ru, </w:t>
            </w:r>
            <w:proofErr w:type="spellStart"/>
            <w:r>
              <w:rPr>
                <w:sz w:val="22"/>
                <w:szCs w:val="22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Power</w:t>
            </w:r>
            <w:proofErr w:type="spellEnd"/>
            <w:r>
              <w:rPr>
                <w:sz w:val="22"/>
                <w:szCs w:val="22"/>
              </w:rPr>
              <w:t xml:space="preserve"> BI </w:t>
            </w:r>
            <w:proofErr w:type="spellStart"/>
            <w:r>
              <w:rPr>
                <w:sz w:val="22"/>
                <w:szCs w:val="22"/>
              </w:rPr>
              <w:t>Desktop</w:t>
            </w:r>
            <w:proofErr w:type="spellEnd"/>
            <w:r>
              <w:rPr>
                <w:sz w:val="22"/>
                <w:szCs w:val="22"/>
              </w:rPr>
              <w:t>)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командная работа в мини-группах с использованием средств удаленной совместной </w:t>
            </w:r>
            <w:r>
              <w:rPr>
                <w:sz w:val="22"/>
                <w:szCs w:val="22"/>
              </w:rPr>
              <w:lastRenderedPageBreak/>
              <w:t>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4. Оценка качества активов банка и его рисков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активов банков и уровня принятых ими рисков.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активов банка и уровня принятых рисков.</w:t>
            </w:r>
          </w:p>
          <w:p w:rsidR="002A6BE5" w:rsidRDefault="002A6BE5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Оценка собственного капитала банка и его достаточности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качества собственного капитала.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собственного капитала.</w:t>
            </w:r>
          </w:p>
          <w:p w:rsidR="002A6BE5" w:rsidRDefault="002A6BE5">
            <w:pPr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lastRenderedPageBreak/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6. Оценка рентабельности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уровня рентабельности.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рентабельности банков.</w:t>
            </w:r>
          </w:p>
          <w:p w:rsidR="002A6BE5" w:rsidRDefault="002A6BE5">
            <w:pPr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7. Оценка привлеченных и заемных ресурсов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качества их привлеченных и заемных средств.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методик агентств АКРА, Эксперт РА, НКР и НРА по оценке качества привлеченных и заемных средств </w:t>
            </w:r>
            <w:r>
              <w:rPr>
                <w:sz w:val="22"/>
                <w:szCs w:val="22"/>
              </w:rPr>
              <w:lastRenderedPageBreak/>
              <w:t>банков.</w:t>
            </w:r>
          </w:p>
          <w:p w:rsidR="002A6BE5" w:rsidRDefault="002A6BE5">
            <w:pPr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 изучение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сбор данных для выполнения контрольной работы (в части </w:t>
            </w:r>
            <w:r>
              <w:rPr>
                <w:sz w:val="22"/>
                <w:szCs w:val="22"/>
              </w:rPr>
              <w:lastRenderedPageBreak/>
              <w:t>соответствующей темы), их обобщение в табличном редакторе;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8. Оценка ликвидности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уровня их ликвидности.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привлеченных и заемных средств банков.</w:t>
            </w:r>
          </w:p>
          <w:p w:rsidR="002A6BE5" w:rsidRDefault="00555006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Стресс-тестирование как метод оценки ликвидности банка</w:t>
            </w:r>
          </w:p>
          <w:p w:rsidR="002A6BE5" w:rsidRDefault="002A6BE5">
            <w:pPr>
              <w:rPr>
                <w:sz w:val="22"/>
                <w:szCs w:val="22"/>
              </w:rPr>
            </w:pPr>
          </w:p>
          <w:p w:rsidR="002A6BE5" w:rsidRDefault="002A6BE5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A6BE5"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9. Комплексная </w:t>
            </w:r>
            <w:r>
              <w:rPr>
                <w:sz w:val="22"/>
                <w:szCs w:val="22"/>
              </w:rPr>
              <w:lastRenderedPageBreak/>
              <w:t>оценка финансовой устойчивости банка и прогноз ее изменения на основе больших данных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1. Сравнительная характеристика </w:t>
            </w:r>
            <w:r>
              <w:rPr>
                <w:sz w:val="22"/>
                <w:szCs w:val="22"/>
              </w:rPr>
              <w:lastRenderedPageBreak/>
              <w:t>российских и зарубежных методик оценки финансовой устойчивости банков (органов надзор и рейтинговых агентств)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Возможности приложений для бизнес-аналитики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по решению задач прогнозирования.</w:t>
            </w:r>
          </w:p>
        </w:tc>
        <w:tc>
          <w:tcPr>
            <w:tcW w:w="3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- разработка и построение </w:t>
            </w:r>
            <w:r>
              <w:rPr>
                <w:sz w:val="22"/>
                <w:szCs w:val="22"/>
              </w:rPr>
              <w:lastRenderedPageBreak/>
              <w:t>интерактивных панелей (</w:t>
            </w:r>
            <w:r>
              <w:rPr>
                <w:sz w:val="22"/>
                <w:szCs w:val="22"/>
                <w:lang w:val="en-US"/>
              </w:rPr>
              <w:t>Yandex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представления результатов контрольной работы по оценке устойчивости выбранного банка</w:t>
            </w:r>
          </w:p>
          <w:p w:rsidR="002A6BE5" w:rsidRDefault="005550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</w:tbl>
    <w:p w:rsidR="002A6BE5" w:rsidRDefault="002A6BE5">
      <w:pPr>
        <w:keepNext/>
        <w:jc w:val="both"/>
        <w:rPr>
          <w:b/>
          <w:sz w:val="28"/>
          <w:szCs w:val="28"/>
        </w:rPr>
      </w:pPr>
    </w:p>
    <w:p w:rsidR="002A6BE5" w:rsidRDefault="00555006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8" w:name="_Toc158300838"/>
      <w:r>
        <w:rPr>
          <w:rFonts w:ascii="Times New Roman" w:hAnsi="Times New Roman" w:cs="Times New Roman"/>
          <w:b/>
          <w:color w:val="auto"/>
          <w:sz w:val="28"/>
          <w:szCs w:val="28"/>
        </w:rPr>
        <w:t>6.2. Перечень вопросов, заданий, тем для подготовки к текущему контролю</w:t>
      </w:r>
      <w:bookmarkEnd w:id="18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2A6BE5" w:rsidRDefault="00555006">
      <w:pPr>
        <w:pStyle w:val="af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 xml:space="preserve"> Примерный перечень вопросов к контрольной работе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Источники финансовой отчетности для анализа устойчивости российского банка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Состав финансовой отчетности российского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формы финансовой отчетности для изучения финансового состояния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Иные формы раскрытия сведений о банке (помимо публикуемой финансовой отчетности), полезные для оценки уровня его устойчивости.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нефинансовые факторы для оценки уровня кредитоспособности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Компоненты комплексной методики оценки финансовой устойчивости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Значение рыночных позиций банка и степени диверсификации его бизнеса для оценки уровня финансовой устойчивости.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Способы оценки качества управления и стратегии банка в контексте оценки его финансовой устойчивости.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Структура собственности банка и деловая репутация его собственников и руководителей для оценки кредитоспособности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 xml:space="preserve"> Методы оценки качества активов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Методы оценки качества собственного капитала банка и его достаточности.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Содержание показателя усредненной генерации капитала и порядок его расчета.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Финансовые показатели для анализа уровня кредитного риска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Тактика оценки диверсификации кредитного портфеля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уровня рентабельности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финансовые коэффициенты для анализа доходности и рентабельности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качества ресурсной базы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Тактика оценки диверсификации ресурсной базы банка.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Способы оценки уровня ликвидности банка на основе его финансовой отчетности.</w:t>
      </w:r>
    </w:p>
    <w:p w:rsidR="002A6BE5" w:rsidRDefault="00555006">
      <w:pPr>
        <w:pStyle w:val="af4"/>
        <w:numPr>
          <w:ilvl w:val="0"/>
          <w:numId w:val="8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Состав нормативов ликвидности банков.</w:t>
      </w:r>
    </w:p>
    <w:p w:rsidR="002A6BE5" w:rsidRDefault="00555006">
      <w:pPr>
        <w:pStyle w:val="af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Перечень примерных практико-ориентированных заданий для контрольной работы.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Проведите анализ рыночных позиций и диверсификации бизнеса выбранного российского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качество управления и стратегию по открытым данным российского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Найдите информацию о структуре собственности банка и деловой репутации российского банка и оцените их влияние на уровень финансовой устойчивости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Соберите необходимые данные и проведите горизонтальный и вертикальный анализ активов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На основании данных российского банка посчитаете и оцените значения показателей качества кредитного портфеля.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степень диверсификации кредитного портфеля российского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Обобщите данные о структуре капитала российского банка, посчитайте нормативы достаточности капитала.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Посчитайте коэффициент усредненной генерации капитала российского банка и дайте ему оценку.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источники прироста капитала выбранного российского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Соберите данные о структуре доходов российского банка и оцените степень их диверсификации.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уровень рентабельности выбранного российского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диверсификации ресурсной базы выбранного российского банка.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Рассчитайте показатели качества привлеченных и заемных средств российского банка и дайте им оценку.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зависимости российского банка от привлечения межбанковских кредитов Банка России.</w:t>
      </w:r>
    </w:p>
    <w:p w:rsidR="002A6BE5" w:rsidRDefault="00555006">
      <w:pPr>
        <w:pStyle w:val="af4"/>
        <w:numPr>
          <w:ilvl w:val="0"/>
          <w:numId w:val="9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По итогам проведенных расчетов сделайте комплексный вывод об уровне финансовой устойчивости выбранного российского банка.</w:t>
      </w:r>
    </w:p>
    <w:p w:rsidR="002A6BE5" w:rsidRDefault="00555006">
      <w:pPr>
        <w:pStyle w:val="af4"/>
        <w:spacing w:line="360" w:lineRule="auto"/>
        <w:ind w:firstLine="709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Проведение дебатов </w:t>
      </w:r>
    </w:p>
    <w:p w:rsidR="002A6BE5" w:rsidRDefault="00555006">
      <w:pPr>
        <w:pStyle w:val="af4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Для участия в дебатах студенты группы делятся на 2 команды, примерно равные по численности. В каждой команде выбирается капитан, отвечающий за обобщение собранных членами команды материалов и выдвинутых ими аргументов, а также за общение с преподавателем, ведущим семинарские занятия.</w:t>
      </w:r>
    </w:p>
    <w:p w:rsidR="002A6BE5" w:rsidRDefault="00555006">
      <w:pPr>
        <w:pStyle w:val="af4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 xml:space="preserve">Распределение обязанностей в команде остается на усмотрение студентов. Рекомендуется выделить 2-3 человек для поиска материалов. Собранные материалы распределяются для внимательного и критического чтения между всеми участниками команды. Каждый участник команды готовит (независимо друг от друга) аргументы в защиту позиции и контраргументы (вопросы) к точке зрения оппонентов. Затем все </w:t>
      </w:r>
      <w:r>
        <w:rPr>
          <w:b w:val="0"/>
          <w:color w:val="000000" w:themeColor="text1"/>
          <w:szCs w:val="28"/>
        </w:rPr>
        <w:lastRenderedPageBreak/>
        <w:t>обмениваются идеями. Капитан команды обобщает их и готовит проект выступления. Все члены команды выбирают наиболее удачные вопросы для участия в дискуссии.</w:t>
      </w:r>
    </w:p>
    <w:p w:rsidR="002A6BE5" w:rsidRDefault="00555006">
      <w:pPr>
        <w:tabs>
          <w:tab w:val="left" w:pos="-180"/>
        </w:tabs>
        <w:spacing w:line="360" w:lineRule="exact"/>
        <w:ind w:right="70"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балльной оценки различных форм текущего контроля успеваемости</w:t>
      </w:r>
    </w:p>
    <w:p w:rsidR="002A6BE5" w:rsidRDefault="00555006">
      <w:pPr>
        <w:tabs>
          <w:tab w:val="left" w:pos="-180"/>
        </w:tabs>
        <w:spacing w:line="360" w:lineRule="exact"/>
        <w:ind w:right="70" w:firstLine="720"/>
        <w:jc w:val="both"/>
        <w:rPr>
          <w:sz w:val="28"/>
          <w:szCs w:val="28"/>
        </w:rPr>
      </w:pPr>
      <w:bookmarkStart w:id="19" w:name="_Hlk107308365"/>
      <w:r>
        <w:rPr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 банковского дела и монетарного регулирования.</w:t>
      </w:r>
      <w:bookmarkEnd w:id="19"/>
    </w:p>
    <w:p w:rsidR="002A6BE5" w:rsidRDefault="002A6BE5">
      <w:pPr>
        <w:pStyle w:val="af4"/>
        <w:jc w:val="both"/>
        <w:rPr>
          <w:b w:val="0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0" w:name="_Toc158300839"/>
      <w:r>
        <w:rPr>
          <w:rFonts w:ascii="Times New Roman" w:hAnsi="Times New Roman" w:cs="Times New Roman"/>
          <w:b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  <w:bookmarkEnd w:id="20"/>
    </w:p>
    <w:p w:rsidR="002A6BE5" w:rsidRDefault="00555006">
      <w:pPr>
        <w:spacing w:line="360" w:lineRule="exact"/>
        <w:ind w:firstLine="708"/>
        <w:jc w:val="both"/>
        <w:rPr>
          <w:sz w:val="28"/>
          <w:szCs w:val="20"/>
        </w:rPr>
      </w:pPr>
      <w:r>
        <w:rPr>
          <w:sz w:val="28"/>
          <w:szCs w:val="28"/>
        </w:rPr>
        <w:t>Перечень компетенций с указанием индикаторов их достижения в процессе освоения образовательной программы содержится в разделе 2 «</w:t>
      </w:r>
      <w:r>
        <w:rPr>
          <w:sz w:val="28"/>
          <w:szCs w:val="20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2A6BE5" w:rsidRDefault="00555006">
      <w:pPr>
        <w:spacing w:line="360" w:lineRule="exact"/>
        <w:ind w:firstLine="708"/>
        <w:jc w:val="both"/>
        <w:rPr>
          <w:sz w:val="28"/>
          <w:szCs w:val="20"/>
        </w:rPr>
        <w:sectPr w:rsidR="002A6BE5">
          <w:headerReference w:type="default" r:id="rId10"/>
          <w:footerReference w:type="default" r:id="rId11"/>
          <w:pgSz w:w="11906" w:h="16838"/>
          <w:pgMar w:top="765" w:right="850" w:bottom="1134" w:left="1701" w:header="708" w:footer="708" w:gutter="0"/>
          <w:cols w:space="720"/>
          <w:formProt w:val="0"/>
          <w:docGrid w:linePitch="360"/>
        </w:sectPr>
      </w:pPr>
      <w:r>
        <w:rPr>
          <w:sz w:val="28"/>
          <w:szCs w:val="20"/>
        </w:rPr>
        <w:t xml:space="preserve">                                                                                                 </w:t>
      </w:r>
    </w:p>
    <w:p w:rsidR="002A6BE5" w:rsidRDefault="00555006">
      <w:pPr>
        <w:spacing w:line="360" w:lineRule="exact"/>
        <w:ind w:firstLine="708"/>
        <w:jc w:val="right"/>
        <w:rPr>
          <w:sz w:val="28"/>
          <w:szCs w:val="20"/>
        </w:rPr>
      </w:pPr>
      <w:r>
        <w:rPr>
          <w:sz w:val="28"/>
          <w:szCs w:val="20"/>
        </w:rPr>
        <w:lastRenderedPageBreak/>
        <w:t xml:space="preserve"> Таблица 6</w:t>
      </w:r>
    </w:p>
    <w:tbl>
      <w:tblPr>
        <w:tblStyle w:val="13"/>
        <w:tblW w:w="15083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290"/>
        <w:gridCol w:w="2667"/>
        <w:gridCol w:w="2698"/>
        <w:gridCol w:w="7428"/>
      </w:tblGrid>
      <w:tr w:rsidR="002A6BE5">
        <w:tc>
          <w:tcPr>
            <w:tcW w:w="2289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Наименование компетенции</w:t>
            </w:r>
          </w:p>
        </w:tc>
        <w:tc>
          <w:tcPr>
            <w:tcW w:w="2667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Наименование индикаторов</w:t>
            </w:r>
            <w:r>
              <w:rPr>
                <w:b/>
                <w:bCs/>
              </w:rPr>
              <w:br/>
              <w:t xml:space="preserve">достижения </w:t>
            </w:r>
            <w:r>
              <w:rPr>
                <w:b/>
                <w:bCs/>
              </w:rPr>
              <w:br/>
              <w:t>компетенции</w:t>
            </w:r>
          </w:p>
        </w:tc>
        <w:tc>
          <w:tcPr>
            <w:tcW w:w="2698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7428" w:type="dxa"/>
          </w:tcPr>
          <w:p w:rsidR="002A6BE5" w:rsidRDefault="00555006">
            <w:pPr>
              <w:tabs>
                <w:tab w:val="right" w:leader="dot" w:pos="9345"/>
              </w:tabs>
              <w:rPr>
                <w:b/>
                <w:bCs/>
              </w:rPr>
            </w:pPr>
            <w:r>
              <w:rPr>
                <w:b/>
                <w:bCs/>
              </w:rPr>
              <w:t>Типовые</w:t>
            </w:r>
            <w:r>
              <w:rPr>
                <w:b/>
                <w:bCs/>
              </w:rPr>
              <w:br/>
              <w:t>контрольные</w:t>
            </w:r>
            <w:r>
              <w:rPr>
                <w:b/>
                <w:bCs/>
              </w:rPr>
              <w:br/>
              <w:t>задания</w:t>
            </w:r>
          </w:p>
        </w:tc>
      </w:tr>
      <w:tr w:rsidR="002A6BE5">
        <w:tc>
          <w:tcPr>
            <w:tcW w:w="2289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ПК-2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Способность устанавливать предельно допустимый уровень риска на стратегическом уровне</w:t>
            </w:r>
          </w:p>
        </w:tc>
        <w:tc>
          <w:tcPr>
            <w:tcW w:w="2667" w:type="dxa"/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Определяет предел допустимого риска банка с учетом изменяющихся внешних факторов и существенности риска для конкретного банка.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2. Обосновывает допустимый предел риска для стратегического уровня и риск-аппетита банка.</w:t>
            </w:r>
          </w:p>
        </w:tc>
        <w:tc>
          <w:tcPr>
            <w:tcW w:w="2698" w:type="dxa"/>
          </w:tcPr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 xml:space="preserve">1.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методы оценки различных банковских рисков;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2.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методы прогнозирования величины базовых индикаторов финансового состояния банка,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 xml:space="preserve">использовать полученные знания для определения перспектив деятельности банка, ставить и формализовать </w:t>
            </w:r>
            <w:r>
              <w:lastRenderedPageBreak/>
              <w:t>задачи по повышению уровня его финансовой устойчивости.</w:t>
            </w:r>
          </w:p>
        </w:tc>
        <w:tc>
          <w:tcPr>
            <w:tcW w:w="7428" w:type="dxa"/>
          </w:tcPr>
          <w:p w:rsidR="002A6BE5" w:rsidRDefault="00555006">
            <w:pPr>
              <w:tabs>
                <w:tab w:val="right" w:leader="dot" w:pos="9345"/>
              </w:tabs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На основании нижеприведенных данных о значениях и динамике показателей процентного риска в структуре риск-аппетита АО «АЛЬФА-БАНК» необходимо: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1) определить сходства и отличия различных индикаторов, применяемых банком для измерения величины и ограничения уровня процентного риска;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 xml:space="preserve">2) проанализировать динамику показателей процентного риска; 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3) предположить возможные причины изменения расчетных значений показателей процентного риска;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4) определить запас прочности для соблюдения показателей процентного риска.</w:t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4415155" cy="847090"/>
                  <wp:effectExtent l="0" t="0" r="0" b="0"/>
                  <wp:docPr id="1" name="Рисунок 194348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94348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15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491990" cy="1407795"/>
                  <wp:effectExtent l="0" t="0" r="0" b="0"/>
                  <wp:docPr id="2" name="Рисунок 2120334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120334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990" cy="140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4373880" cy="2048510"/>
                  <wp:effectExtent l="0" t="0" r="0" b="0"/>
                  <wp:docPr id="3" name="Рисунок 320904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20904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880" cy="204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596640" cy="910590"/>
                  <wp:effectExtent l="0" t="0" r="0" b="0"/>
                  <wp:docPr id="4" name="Рисунок 806721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806721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640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539615" cy="2532380"/>
                  <wp:effectExtent l="0" t="0" r="0" b="0"/>
                  <wp:docPr id="5" name="Рисунок 6001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6001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9615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476625" cy="880745"/>
                  <wp:effectExtent l="0" t="0" r="0" b="0"/>
                  <wp:docPr id="6" name="Рисунок 1724436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724436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88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396740" cy="2148205"/>
                  <wp:effectExtent l="0" t="0" r="0" b="0"/>
                  <wp:docPr id="7" name="Рисунок 233134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233134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6740" cy="214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457575" cy="871855"/>
                  <wp:effectExtent l="0" t="0" r="0" b="0"/>
                  <wp:docPr id="8" name="Рисунок 867514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67514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Рассчитать</w:t>
            </w:r>
            <w:r>
              <w:rPr>
                <w:bCs/>
              </w:rPr>
              <w:t xml:space="preserve"> норматив достаточности базового капитала (Н1.1) по данным таблицы 1, а также </w:t>
            </w:r>
            <w:r>
              <w:rPr>
                <w:bCs/>
                <w:u w:val="single"/>
              </w:rPr>
              <w:t>определить</w:t>
            </w:r>
            <w:r>
              <w:rPr>
                <w:bCs/>
              </w:rPr>
              <w:t xml:space="preserve"> уровень совокупного риска, который может принять при условии соблюдения норматива достаточности базового капитала и надбавок к капиталу. Допустим, что ниже приведены данные по системно значимому банку.</w:t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Таблица 1. Данные для оценки достаточности базового капитала (млн. руб.)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3403"/>
              <w:gridCol w:w="980"/>
            </w:tblGrid>
            <w:tr w:rsidR="002A6BE5">
              <w:tc>
                <w:tcPr>
                  <w:tcW w:w="1446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Основной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Собственный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237 993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Ар11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Ар12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Ар10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lastRenderedPageBreak/>
                    <w:t>Ар21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Ар22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Ар20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Ар31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Ар32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Ар30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Ар41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Ар42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Ар40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Ар51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Ар52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Ар50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8807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Ипотека с достаточным обеспечением</w:t>
                  </w:r>
                  <w:r>
                    <w:rPr>
                      <w:rStyle w:val="a9"/>
                      <w:spacing w:val="-2"/>
                      <w:sz w:val="18"/>
                      <w:szCs w:val="18"/>
                    </w:rPr>
                    <w:footnoteReference w:id="5"/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БК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Активы, предусматривающие применение повышенных требований по покрытию капиталом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6 920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A6BE5" w:rsidRDefault="00555006">
                  <w:pPr>
                    <w:jc w:val="center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Корректировка на суммы, включаемые дважды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proofErr w:type="spellStart"/>
                  <w:r>
                    <w:rPr>
                      <w:spacing w:val="-2"/>
                      <w:sz w:val="18"/>
                      <w:szCs w:val="18"/>
                    </w:rPr>
                    <w:t>ПКр</w:t>
                  </w:r>
                  <w:proofErr w:type="spellEnd"/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Потребительские кредиты (без обеспечения)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208 621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 xml:space="preserve">Требования к связанным лицам 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52 217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2A6BE5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2A6BE5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Операции с повышенными коэффициентами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3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условным обязательствам кредитного характера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КРС (код 8811)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срочным сделкам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13 158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РСК (код 8866)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риска изменения стоимости кредитного требования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ОР (код 8942)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Операционный риск (с учетом коэффициента 12,5)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11 410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РР (код 8812)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Рыночный риск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170 601</w:t>
                  </w:r>
                </w:p>
              </w:tc>
            </w:tr>
          </w:tbl>
          <w:p w:rsidR="002A6BE5" w:rsidRDefault="002A6BE5">
            <w:pPr>
              <w:rPr>
                <w:b/>
              </w:rPr>
            </w:pPr>
          </w:p>
        </w:tc>
      </w:tr>
      <w:tr w:rsidR="002A6BE5">
        <w:tc>
          <w:tcPr>
            <w:tcW w:w="2289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</w:rPr>
            </w:pPr>
            <w:r>
              <w:rPr>
                <w:b/>
                <w:bCs/>
              </w:rPr>
              <w:lastRenderedPageBreak/>
              <w:t xml:space="preserve">ПК-4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lastRenderedPageBreak/>
              <w:t>Способность осуществлять контроль и координацию деятельности систем внутреннего контроля на всех уровнях управления банком</w:t>
            </w:r>
          </w:p>
        </w:tc>
        <w:tc>
          <w:tcPr>
            <w:tcW w:w="2667" w:type="dxa"/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 xml:space="preserve">1. Определяет </w:t>
            </w:r>
            <w:r>
              <w:rPr>
                <w:bCs/>
              </w:rPr>
              <w:lastRenderedPageBreak/>
              <w:t>источники, содержащие наиболее полную и достоверную информацию о работе объекта внутреннего контроля.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lastRenderedPageBreak/>
              <w:t>2. Выявляет и оценивает условия, способствующие возникновению значимых рисков и их трансформации в рисковые события</w:t>
            </w:r>
          </w:p>
        </w:tc>
        <w:tc>
          <w:tcPr>
            <w:tcW w:w="2698" w:type="dxa"/>
          </w:tcPr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 xml:space="preserve">1.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lastRenderedPageBreak/>
              <w:t>знать</w:t>
            </w:r>
            <w:r>
              <w:rPr>
                <w:bCs/>
              </w:rPr>
              <w:t>: - основные методы финансового планирования в коммерческом банке;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составлять финансовые планы банка;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2.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виды банковских рисков и их влияние на финансовую устойчивость банка,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применять современный математический инструментарий для количественной оценки рисков банка и выбора способов из минимизации.</w:t>
            </w:r>
          </w:p>
        </w:tc>
        <w:tc>
          <w:tcPr>
            <w:tcW w:w="7428" w:type="dxa"/>
          </w:tcPr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Используя данные официальной финансовой отчетности ПАО Московский кредитный банк (</w:t>
            </w:r>
            <w:hyperlink r:id="rId19">
              <w:r>
                <w:rPr>
                  <w:bCs/>
                </w:rPr>
                <w:t>http://www.e-disclosure.ru/portal/company.aspx?id=202</w:t>
              </w:r>
            </w:hyperlink>
            <w:r>
              <w:rPr>
                <w:bCs/>
              </w:rPr>
              <w:t>), информация о принимаемых рисках, процедурах их оценки, управления рисками и капиталом банка, а также иные релевантные источники информации проведите оценку качества его активов и кредитного портфеля.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рассчитать долю работающих активов, а также показатели рискованности кредитного портфеля;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диверсификации кредитного портфеля;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активов.</w:t>
            </w:r>
          </w:p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A6BE5" w:rsidRDefault="00555006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rPr>
                <w:bCs/>
              </w:rPr>
              <w:t>Используя доступные данные финансовой отчетности КБ «Центр-Инвест», проведите оценку качества его привлеченных и заемных средств.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кредиторов);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написать выводы по результатам проведенного анализа качества ресурсной базы</w:t>
            </w:r>
          </w:p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Рассчитать</w:t>
            </w:r>
            <w:r>
              <w:rPr>
                <w:bCs/>
              </w:rPr>
              <w:t xml:space="preserve"> норматив достаточности собственного капитала (Н1.0) по данным таблицы 1, а также </w:t>
            </w:r>
            <w:r>
              <w:rPr>
                <w:bCs/>
                <w:u w:val="single"/>
              </w:rPr>
              <w:t>определить</w:t>
            </w:r>
            <w:r>
              <w:rPr>
                <w:bCs/>
              </w:rPr>
              <w:t xml:space="preserve"> объем убытка (вследствие реализации кредитного риска), который может принять банка при условии соблюдения норматива достаточности собственного капитала и надбавок к капиталу. Допустим, что ниже приведены данные по системно значимому банку.</w:t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Таблица 1. Данные для оценки достаточности собственного капитала (млн. руб.)</w:t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2440"/>
              <w:gridCol w:w="1943"/>
            </w:tblGrid>
            <w:tr w:rsidR="002A6BE5">
              <w:tc>
                <w:tcPr>
                  <w:tcW w:w="1446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Собственный капитал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457,1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 xml:space="preserve">Базовый капитал 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290,4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Основной капитал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279,7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Ар11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266,2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Ар12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266,2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Ар10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265,2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Ар21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26,8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Ар22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26,8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Ар20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25,4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Ар31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18,5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Ар32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18,5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Ар30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19,0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Ар41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2 376,5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Ар42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2 376,7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Ар40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2 382,2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Ар51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Ар52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Ар50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8807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Ипотека с достаточным обеспечением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БК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Активы, предусматривающие применение повышенных требований по покрытию капиталом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13,7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proofErr w:type="spellStart"/>
                  <w:r>
                    <w:rPr>
                      <w:spacing w:val="-2"/>
                      <w:sz w:val="18"/>
                      <w:szCs w:val="18"/>
                    </w:rPr>
                    <w:t>ПКр</w:t>
                  </w:r>
                  <w:proofErr w:type="spellEnd"/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Потребительские кредиты (без обеспечения)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0,5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2440" w:type="dxa"/>
                  <w:vMerge w:val="restart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 xml:space="preserve">Требования к связанным лицам 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380,8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2440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382,3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lastRenderedPageBreak/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2440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380,8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2440" w:type="dxa"/>
                  <w:vMerge w:val="restart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условным обязательствам кредитного характера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408,4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2440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408,4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2440" w:type="dxa"/>
                  <w:vMerge/>
                </w:tcPr>
                <w:p w:rsidR="002A6BE5" w:rsidRDefault="002A6BE5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408,4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КРС (код 8811)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срочным сделкам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27,2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РСК (код 8866)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риска изменения стоимости кредитного требования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ОР (код 8942)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Операционный риск (с учетом коэффициента 12,5)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13,4</w:t>
                  </w:r>
                </w:p>
              </w:tc>
            </w:tr>
            <w:tr w:rsidR="002A6BE5">
              <w:tc>
                <w:tcPr>
                  <w:tcW w:w="1446" w:type="dxa"/>
                  <w:vAlign w:val="center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РР (код 8812)</w:t>
                  </w:r>
                </w:p>
              </w:tc>
              <w:tc>
                <w:tcPr>
                  <w:tcW w:w="2440" w:type="dxa"/>
                </w:tcPr>
                <w:p w:rsidR="002A6BE5" w:rsidRDefault="00555006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Рыночный риск</w:t>
                  </w:r>
                </w:p>
              </w:tc>
              <w:tc>
                <w:tcPr>
                  <w:tcW w:w="1943" w:type="dxa"/>
                  <w:vAlign w:val="center"/>
                </w:tcPr>
                <w:p w:rsidR="002A6BE5" w:rsidRDefault="00555006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190,0</w:t>
                  </w:r>
                </w:p>
              </w:tc>
            </w:tr>
          </w:tbl>
          <w:p w:rsidR="002A6BE5" w:rsidRDefault="002A6BE5"/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2A6BE5">
            <w:pPr>
              <w:tabs>
                <w:tab w:val="right" w:leader="dot" w:pos="9345"/>
              </w:tabs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</w:tc>
      </w:tr>
      <w:tr w:rsidR="002A6BE5">
        <w:tc>
          <w:tcPr>
            <w:tcW w:w="2289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ПКН-2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Способность применять продвинутые современные инструменты и методы анализа финансово-кредитной сферы, финансов государственного и негосударственного секторов экономики для целей эффективного управления финансовыми </w:t>
            </w:r>
            <w:r>
              <w:lastRenderedPageBreak/>
              <w:t xml:space="preserve">ресурсами, решения проектно-экономических задач, в том числе в условиях цифровой экономики и развития </w:t>
            </w:r>
            <w:proofErr w:type="spellStart"/>
            <w:r>
              <w:t>Финтеха</w:t>
            </w:r>
            <w:proofErr w:type="spellEnd"/>
            <w:r>
              <w:t>, разработки механизмов монетарного и финансового регулирования, как на уровне отдельных организаций и институтов финансового рынка, так и на уровне публично-правовых образований</w:t>
            </w:r>
          </w:p>
        </w:tc>
        <w:tc>
          <w:tcPr>
            <w:tcW w:w="2667" w:type="dxa"/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1. Владеет современными инструментами и методами анализа и регулирования финансов государственного и негосударственного секторов экономики, деятельности институтов финансов-кредитной сферы.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Демонстрирует способность решения проектно-экономических задач в профессиональной деятельности.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3. Демонстрирует освоение инструментов </w:t>
            </w:r>
            <w:proofErr w:type="spellStart"/>
            <w:r>
              <w:rPr>
                <w:bCs/>
              </w:rPr>
              <w:t>Финтеха</w:t>
            </w:r>
            <w:proofErr w:type="spellEnd"/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4. Владеет методами анализа </w:t>
            </w:r>
            <w:r>
              <w:rPr>
                <w:lang w:val="en-US"/>
              </w:rPr>
              <w:t>Big</w:t>
            </w:r>
            <w:r>
              <w:t xml:space="preserve"> </w:t>
            </w:r>
            <w:r>
              <w:rPr>
                <w:lang w:val="en-US"/>
              </w:rPr>
              <w:t>Data</w:t>
            </w:r>
            <w:r>
              <w:t>, использует для решения профессиональных задач на микро-, мезо- и макроуровнях, в т.ч. на уровне финансового рынка</w:t>
            </w:r>
          </w:p>
        </w:tc>
        <w:tc>
          <w:tcPr>
            <w:tcW w:w="2698" w:type="dxa"/>
          </w:tcPr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 xml:space="preserve">1.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направления и методы анализа и оценки финансового состояния коммерческого банка;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- возможности приложений для командной работы над проектами (</w:t>
            </w:r>
            <w:proofErr w:type="spellStart"/>
            <w:r>
              <w:rPr>
                <w:bCs/>
              </w:rPr>
              <w:t>YouGile</w:t>
            </w:r>
            <w:proofErr w:type="spellEnd"/>
            <w:r>
              <w:rPr>
                <w:bCs/>
              </w:rPr>
              <w:t>, Яндекс Документы);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правильно интерпретировать значения рассчитанных показателей, оценивать их взаимную связь;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3" behindDoc="0" locked="0" layoutInCell="1" allowOverlap="1">
                  <wp:simplePos x="0" y="0"/>
                  <wp:positionH relativeFrom="column">
                    <wp:posOffset>1489710</wp:posOffset>
                  </wp:positionH>
                  <wp:positionV relativeFrom="paragraph">
                    <wp:posOffset>19685</wp:posOffset>
                  </wp:positionV>
                  <wp:extent cx="4780280" cy="5229225"/>
                  <wp:effectExtent l="0" t="0" r="0" b="0"/>
                  <wp:wrapNone/>
                  <wp:docPr id="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t="2151" b="13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0280" cy="522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 xml:space="preserve">2.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представлять результаты оценки финансовой устойчивости банков различным категориям пользователей (руководству банка, инвесторам, органам надзора) с применением традиционных программ и современных приложений для бизнес-аналитики (</w:t>
            </w:r>
            <w:proofErr w:type="spellStart"/>
            <w:r>
              <w:rPr>
                <w:bCs/>
              </w:rPr>
              <w:t>Yandex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DataLens</w:t>
            </w:r>
            <w:proofErr w:type="spellEnd"/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Power</w:t>
            </w:r>
            <w:proofErr w:type="spellEnd"/>
            <w:r>
              <w:rPr>
                <w:bCs/>
              </w:rPr>
              <w:t xml:space="preserve"> BI </w:t>
            </w:r>
            <w:proofErr w:type="spellStart"/>
            <w:r>
              <w:rPr>
                <w:bCs/>
              </w:rPr>
              <w:t>Desktop</w:t>
            </w:r>
            <w:proofErr w:type="spellEnd"/>
            <w:r>
              <w:rPr>
                <w:bCs/>
              </w:rPr>
              <w:t>).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4" behindDoc="0" locked="0" layoutInCell="1" allowOverlap="1">
                  <wp:simplePos x="0" y="0"/>
                  <wp:positionH relativeFrom="column">
                    <wp:posOffset>1576705</wp:posOffset>
                  </wp:positionH>
                  <wp:positionV relativeFrom="paragraph">
                    <wp:posOffset>635</wp:posOffset>
                  </wp:positionV>
                  <wp:extent cx="4781550" cy="5194935"/>
                  <wp:effectExtent l="0" t="0" r="0" b="0"/>
                  <wp:wrapNone/>
                  <wp:docPr id="10" name="Рисунок 1707594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707594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0" cy="519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3.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 xml:space="preserve">: - использовать современные цифровые технологии для решения задач в области оценки уровня финансовой </w:t>
            </w:r>
            <w:r>
              <w:rPr>
                <w:bCs/>
              </w:rPr>
              <w:lastRenderedPageBreak/>
              <w:t>устойчивости банка;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4.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направления применения технологий больших данных и искусственного интеллекта для оценки финансовой устойчивости банков,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 xml:space="preserve"> - источники больших данных о финансовом и рыночном положении банка (analizbankov.ru, cbr.ru);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данные о финансовом состоянии банка для определения перспектив его развития;</w:t>
            </w:r>
          </w:p>
        </w:tc>
        <w:tc>
          <w:tcPr>
            <w:tcW w:w="7428" w:type="dxa"/>
          </w:tcPr>
          <w:p w:rsidR="002A6BE5" w:rsidRDefault="002A6BE5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left" w:pos="540"/>
              </w:tabs>
              <w:ind w:firstLine="318"/>
              <w:contextualSpacing/>
              <w:jc w:val="both"/>
            </w:pPr>
            <w:r>
              <w:rPr>
                <w:bCs/>
              </w:rPr>
              <w:t>Используя имеющиеся данные, проведите оценку качества активов и кредитного портфеля крупного универсального банка.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рассчитать долю работающих активов (таблица 3), а также показатели рискованности кредитного портфеля (таблицы 2 и 3);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диверсификации кредитного портфеля; (таблица 1)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активов.</w:t>
            </w:r>
          </w:p>
          <w:p w:rsidR="002A6BE5" w:rsidRDefault="00555006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rPr>
                <w:bCs/>
              </w:rPr>
              <w:t xml:space="preserve">Основной капитал (I уровня) банка на 31.12.2015 составляет 151 млрд руб. По данным управленческой отчетности связанным сторонам выданы кредиты на общую сумму 170 млрд руб. (по состоянию на </w:t>
            </w:r>
            <w:r>
              <w:rPr>
                <w:bCs/>
              </w:rPr>
              <w:lastRenderedPageBreak/>
              <w:t>31.12.2015).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 xml:space="preserve">Таблица 1.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Отраслевая структура корпоративных кредитов, на конец года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736"/>
              <w:gridCol w:w="2837"/>
              <w:gridCol w:w="707"/>
              <w:gridCol w:w="710"/>
              <w:gridCol w:w="839"/>
            </w:tblGrid>
            <w:tr w:rsidR="002A6BE5">
              <w:tc>
                <w:tcPr>
                  <w:tcW w:w="736" w:type="dxa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2837" w:type="dxa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Торговля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70,4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114,3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12,2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19,1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63,7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Операции с недвижимым имуществом, аренда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11,1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15,1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47,8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25,0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30,0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45,0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8,5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9,6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28,8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28,6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4,4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16,5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8,4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Электроэнергетика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0,1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2,5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57,8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92,4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136,8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Требования по операциям РЕПО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8,2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12,1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201,0</w:t>
                  </w:r>
                </w:p>
              </w:tc>
            </w:tr>
            <w:tr w:rsidR="002A6BE5">
              <w:tc>
                <w:tcPr>
                  <w:tcW w:w="736" w:type="dxa"/>
                  <w:vAlign w:val="center"/>
                </w:tcPr>
                <w:p w:rsidR="002A6BE5" w:rsidRDefault="002A6BE5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837" w:type="dxa"/>
                  <w:vAlign w:val="center"/>
                </w:tcPr>
                <w:p w:rsidR="002A6BE5" w:rsidRDefault="00555006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корпоративные кредиты</w:t>
                  </w:r>
                </w:p>
              </w:tc>
              <w:tc>
                <w:tcPr>
                  <w:tcW w:w="707" w:type="dxa"/>
                  <w:vAlign w:val="center"/>
                </w:tcPr>
                <w:p w:rsidR="002A6BE5" w:rsidRDefault="00555006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207,7</w:t>
                  </w:r>
                </w:p>
              </w:tc>
              <w:tc>
                <w:tcPr>
                  <w:tcW w:w="710" w:type="dxa"/>
                  <w:vAlign w:val="center"/>
                </w:tcPr>
                <w:p w:rsidR="002A6BE5" w:rsidRDefault="00555006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260,8</w:t>
                  </w:r>
                </w:p>
              </w:tc>
              <w:tc>
                <w:tcPr>
                  <w:tcW w:w="839" w:type="dxa"/>
                  <w:vAlign w:val="center"/>
                </w:tcPr>
                <w:p w:rsidR="002A6BE5" w:rsidRDefault="00555006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693,2</w:t>
                  </w:r>
                </w:p>
              </w:tc>
            </w:tr>
          </w:tbl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 xml:space="preserve">Таблица 2.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Динамика просроченной задолженности и РВПС, на конец года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6020" w:type="dxa"/>
              <w:tblLayout w:type="fixed"/>
              <w:tblLook w:val="04A0" w:firstRow="1" w:lastRow="0" w:firstColumn="1" w:lastColumn="0" w:noHBand="0" w:noVBand="1"/>
            </w:tblPr>
            <w:tblGrid>
              <w:gridCol w:w="454"/>
              <w:gridCol w:w="1611"/>
              <w:gridCol w:w="1133"/>
              <w:gridCol w:w="708"/>
              <w:gridCol w:w="708"/>
              <w:gridCol w:w="709"/>
              <w:gridCol w:w="697"/>
            </w:tblGrid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611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  <w:t>РВПС и просроченная задолженность</w:t>
                  </w:r>
                </w:p>
              </w:tc>
              <w:tc>
                <w:tcPr>
                  <w:tcW w:w="1133" w:type="dxa"/>
                  <w:vAlign w:val="bottom"/>
                </w:tcPr>
                <w:p w:rsidR="002A6BE5" w:rsidRDefault="002A6BE5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2012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2015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1.</w:t>
                  </w:r>
                </w:p>
              </w:tc>
              <w:tc>
                <w:tcPr>
                  <w:tcW w:w="5566" w:type="dxa"/>
                  <w:gridSpan w:val="6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Корпоративный портфель</w:t>
                  </w:r>
                  <w:r>
                    <w:rPr>
                      <w:rFonts w:eastAsia="Times New Roman"/>
                      <w:sz w:val="18"/>
                      <w:szCs w:val="18"/>
                    </w:rPr>
                    <w:t> 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1,2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27,7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 3,2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23,4 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2.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Розничный портфель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3,4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7,9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14,1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16,7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2,0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3,8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8,5 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10,2 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Итого по кредитному портфелю</w:t>
                  </w: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9,0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18,4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44,4</w:t>
                  </w:r>
                </w:p>
              </w:tc>
            </w:tr>
            <w:tr w:rsidR="002A6BE5">
              <w:tc>
                <w:tcPr>
                  <w:tcW w:w="453" w:type="dxa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A6BE5" w:rsidRDefault="00555006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2,4</w:t>
                  </w:r>
                </w:p>
              </w:tc>
              <w:tc>
                <w:tcPr>
                  <w:tcW w:w="70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4,7</w:t>
                  </w:r>
                </w:p>
              </w:tc>
              <w:tc>
                <w:tcPr>
                  <w:tcW w:w="709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11,7 </w:t>
                  </w:r>
                </w:p>
              </w:tc>
              <w:tc>
                <w:tcPr>
                  <w:tcW w:w="697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33,6 </w:t>
                  </w:r>
                </w:p>
              </w:tc>
            </w:tr>
          </w:tbl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sz w:val="18"/>
                <w:szCs w:val="18"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</w:pPr>
          </w:p>
          <w:p w:rsidR="002A6BE5" w:rsidRDefault="00555006">
            <w:pPr>
              <w:tabs>
                <w:tab w:val="left" w:pos="540"/>
              </w:tabs>
              <w:contextualSpacing/>
            </w:pPr>
            <w:r>
              <w:rPr>
                <w:bCs/>
              </w:rPr>
              <w:lastRenderedPageBreak/>
              <w:t xml:space="preserve">Таблица 3. Данные баланса банка, на конец </w:t>
            </w:r>
            <w:proofErr w:type="gramStart"/>
            <w:r>
              <w:rPr>
                <w:bCs/>
              </w:rPr>
              <w:t>года,  млрд</w:t>
            </w:r>
            <w:proofErr w:type="gramEnd"/>
            <w:r>
              <w:rPr>
                <w:bCs/>
              </w:rPr>
              <w:t xml:space="preserve"> руб.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2A6BE5" w:rsidRDefault="002A6BE5">
            <w:pPr>
              <w:tabs>
                <w:tab w:val="left" w:pos="1080"/>
              </w:tabs>
              <w:contextualSpacing/>
              <w:jc w:val="center"/>
              <w:rPr>
                <w:b/>
              </w:rPr>
            </w:pPr>
          </w:p>
          <w:p w:rsidR="002A6BE5" w:rsidRDefault="00555006">
            <w:pPr>
              <w:tabs>
                <w:tab w:val="left" w:pos="108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A6BE5" w:rsidRDefault="00555006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bCs/>
              </w:rPr>
              <w:t>Используя имеющиеся данные, проведите оценку качества привлеченных и заемных средств крупного универсального банка.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 (таблицы 1 и 2); 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 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3. написать выводы по результатам проведенного анализа качества ресурсной базы.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По состоянию на 31.12.2016 на крупнейшего кредитора банка приходится 10% пассивов банка, а на 10 крупнейших групп кредиторов – 40% пассивов банка. </w:t>
            </w:r>
          </w:p>
          <w:p w:rsidR="002A6BE5" w:rsidRDefault="00555006">
            <w:pPr>
              <w:tabs>
                <w:tab w:val="left" w:pos="1080"/>
              </w:tabs>
              <w:ind w:firstLine="459"/>
              <w:contextualSpacing/>
              <w:jc w:val="both"/>
            </w:pPr>
            <w:r>
              <w:rPr>
                <w:bCs/>
              </w:rPr>
              <w:t>В составе средств юридических лиц 1 301 млрд руб. приходится на связанные лица (в т.ч. 441 млрд руб. – на еврооблигации и субординированные облигации, выпущенные компаниями Группы, в которую входит банк). Банк регулярно отслеживает риски привлечения ресурсов от связанных лиц. По состоянию на дату анализу их можно оценить как низкие.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Таблица 1. Отраслевая структура средств клиентов, на конец года </w:t>
            </w:r>
          </w:p>
          <w:p w:rsidR="002A6BE5" w:rsidRDefault="00555006">
            <w:pPr>
              <w:tabs>
                <w:tab w:val="left" w:pos="108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tbl>
            <w:tblPr>
              <w:tblW w:w="7212" w:type="dxa"/>
              <w:tblLayout w:type="fixed"/>
              <w:tblLook w:val="04A0" w:firstRow="1" w:lastRow="0" w:firstColumn="1" w:lastColumn="0" w:noHBand="0" w:noVBand="1"/>
            </w:tblPr>
            <w:tblGrid>
              <w:gridCol w:w="594"/>
              <w:gridCol w:w="4007"/>
              <w:gridCol w:w="851"/>
              <w:gridCol w:w="852"/>
              <w:gridCol w:w="908"/>
            </w:tblGrid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2016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1 010,1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1 118,2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971,0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Оптовая и розничная торговля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640,4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562,3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544,2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601,1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640,8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378,5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Операции с недвижимым имуществом, аренда и предоставление услуг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160,9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252,1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292,1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128,6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196,4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175,6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89,3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134,9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164,3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Производство и рас. электроэнергии, газа и воды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102,8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107,1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127,4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59,3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59,7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122,2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хозяйство, охота и лесное хозяйство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5,3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3,7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11,9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94,5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107,1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268,7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55500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lastRenderedPageBreak/>
                    <w:t>11</w:t>
                  </w: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Средства клиентов физических лиц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469,7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631,1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646,7   </w:t>
                  </w:r>
                </w:p>
              </w:tc>
            </w:tr>
            <w:tr w:rsidR="002A6BE5">
              <w:tc>
                <w:tcPr>
                  <w:tcW w:w="594" w:type="dxa"/>
                  <w:vAlign w:val="center"/>
                </w:tcPr>
                <w:p w:rsidR="002A6BE5" w:rsidRDefault="002A6BE5">
                  <w:pPr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007" w:type="dxa"/>
                  <w:vAlign w:val="center"/>
                </w:tcPr>
                <w:p w:rsidR="002A6BE5" w:rsidRDefault="00555006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средства клиентов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3 362,1   </w:t>
                  </w:r>
                </w:p>
              </w:tc>
              <w:tc>
                <w:tcPr>
                  <w:tcW w:w="852" w:type="dxa"/>
                  <w:vAlign w:val="center"/>
                </w:tcPr>
                <w:p w:rsidR="002A6BE5" w:rsidRDefault="00555006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3 813,4   </w:t>
                  </w:r>
                </w:p>
              </w:tc>
              <w:tc>
                <w:tcPr>
                  <w:tcW w:w="908" w:type="dxa"/>
                  <w:vAlign w:val="center"/>
                </w:tcPr>
                <w:p w:rsidR="002A6BE5" w:rsidRDefault="00555006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3 702,6   </w:t>
                  </w:r>
                </w:p>
              </w:tc>
            </w:tr>
          </w:tbl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t>Таблица 2. Данные баланса банка, на конец года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5" behindDoc="0" locked="0" layoutInCell="1" allowOverlap="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24765</wp:posOffset>
                  </wp:positionV>
                  <wp:extent cx="4429760" cy="4829175"/>
                  <wp:effectExtent l="0" t="0" r="0" b="0"/>
                  <wp:wrapNone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760" cy="482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По данным таблицы 1 необходимо проанализировать состояние </w:t>
            </w:r>
            <w:r>
              <w:rPr>
                <w:bCs/>
              </w:rPr>
              <w:lastRenderedPageBreak/>
              <w:t>ликвидности Группы «Сбербанк» на основе метода матриц. По результатам требуется подготовить краткую аналитическую записку с выводами.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1. Временная структура баланса группы «Сбербанк»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3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 xml:space="preserve">1. Обоснуйте и сформируйте выбору сопоставимых с ПАО МКБ банков (не менее 4) с помощью портала банковского аналитика analizbankov.ru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Соберите информацию из открытых источников структурированных данных для анализа структуры и качества собственного капитала выбранных банков (analizbankov.ru, cbr.ru)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Проведите копирование данных в табличный редактор.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Проведите сравнительный анализ структуры капитала и показателей качества капитала (не менее 5, в т.ч. КУГК).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5. Разработайте интерактивную панель для визуализации результатов анализа: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3-х диаграмм,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2-х таблиц,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2-х переключателей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средствами приложений для бизнес-аналитики (</w:t>
            </w:r>
            <w:proofErr w:type="spellStart"/>
            <w:r>
              <w:rPr>
                <w:bCs/>
              </w:rPr>
              <w:t>Yandex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DataLens</w:t>
            </w:r>
            <w:proofErr w:type="spellEnd"/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Power</w:t>
            </w:r>
            <w:proofErr w:type="spellEnd"/>
            <w:r>
              <w:rPr>
                <w:bCs/>
              </w:rPr>
              <w:t xml:space="preserve"> BI </w:t>
            </w:r>
            <w:proofErr w:type="spellStart"/>
            <w:r>
              <w:rPr>
                <w:bCs/>
              </w:rPr>
              <w:t>Deskto</w:t>
            </w:r>
            <w:proofErr w:type="spellEnd"/>
            <w:r>
              <w:rPr>
                <w:bCs/>
                <w:lang w:val="en-US"/>
              </w:rPr>
              <w:t>p</w:t>
            </w:r>
            <w:r>
              <w:rPr>
                <w:bCs/>
              </w:rPr>
              <w:t>.</w:t>
            </w:r>
          </w:p>
          <w:p w:rsidR="002A6BE5" w:rsidRDefault="002A6BE5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A6BE5" w:rsidRDefault="002A6BE5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A6BE5" w:rsidRDefault="002A6BE5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Проект «</w:t>
            </w:r>
            <w:proofErr w:type="spellStart"/>
            <w:r>
              <w:rPr>
                <w:bCs/>
              </w:rPr>
              <w:t>Маркетплейс</w:t>
            </w:r>
            <w:proofErr w:type="spellEnd"/>
            <w:r>
              <w:rPr>
                <w:bCs/>
              </w:rPr>
              <w:t>» Банка России предполагает существенное изменение ландшафта рынка банковских продуктов и услуг: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705225" cy="2781300"/>
                  <wp:effectExtent l="0" t="0" r="0" b="0"/>
                  <wp:docPr id="12" name="Рисунок 885974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885974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78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705225" cy="2038350"/>
                  <wp:effectExtent l="0" t="0" r="0" b="0"/>
                  <wp:docPr id="13" name="Рисунок 1023260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023260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705225" cy="2085975"/>
                  <wp:effectExtent l="0" t="0" r="0" b="0"/>
                  <wp:docPr id="14" name="Рисунок 1208009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208009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Вопросы к заданию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1. Как внедрение проекта изменит состав и структуру ресурсной базы банков? Какое влияние такие изменения могут оказать на уровень их финансовой устойчивости?</w:t>
            </w:r>
          </w:p>
          <w:p w:rsidR="002A6BE5" w:rsidRDefault="00555006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2. Какие банки в большей степени испытают влияние от запуска данного проекта с точки зрения обеспечения их финансовой устойчивости?</w:t>
            </w:r>
          </w:p>
          <w:p w:rsidR="002A6BE5" w:rsidRDefault="002A6BE5">
            <w:pPr>
              <w:tabs>
                <w:tab w:val="right" w:leader="dot" w:pos="9345"/>
              </w:tabs>
              <w:contextualSpacing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Эксперты указали банкам на необходимость цифровизации бизнеса за 2-3 года. По прогнозам консалтинговой компании </w:t>
            </w:r>
            <w:proofErr w:type="spellStart"/>
            <w:r>
              <w:rPr>
                <w:bCs/>
              </w:rPr>
              <w:t>Boston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Consulting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Group</w:t>
            </w:r>
            <w:proofErr w:type="spellEnd"/>
            <w:r>
              <w:rPr>
                <w:bCs/>
              </w:rPr>
              <w:t xml:space="preserve"> (BCG), в ближайшие пять лет 30% выручки в мировом традиционном корпоративном банкинге будет получено исключительно через цифровые каналы. При этом у корпоративных банков есть два-три года для того, чтобы провести комплексную цифровую трансформацию, и российские банки с этой точки зрения не отстают от своих западных коллег, а в ряде направлений вовсе являются пионерами, следует из нового отчета BCG «Мировой корпоративный </w:t>
            </w:r>
            <w:r>
              <w:rPr>
                <w:bCs/>
              </w:rPr>
              <w:lastRenderedPageBreak/>
              <w:t xml:space="preserve">банковский бизнес: как достичь успеха с помощью цифровизации» (есть в распоряжении РБК). Партнер и управляющий директор </w:t>
            </w:r>
            <w:proofErr w:type="spellStart"/>
            <w:r>
              <w:rPr>
                <w:bCs/>
              </w:rPr>
              <w:t>Boston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Consulting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Group</w:t>
            </w:r>
            <w:proofErr w:type="spellEnd"/>
            <w:r>
              <w:rPr>
                <w:bCs/>
              </w:rPr>
              <w:t xml:space="preserve"> Дмитрий Ангаров указывает на два основных пути цифровизации банков. Первый путь — трансформация существующей архитектуры (ядра), что, в зависимости от состояния действующих систем, может стать длительным, трудоемким и затратным процессом. Альтернативный сценарий предусматривает создание цифрового банка в отдельном технологическом контуре, но на балансе основного банка (по аналогии модели «</w:t>
            </w:r>
            <w:proofErr w:type="spellStart"/>
            <w:r>
              <w:rPr>
                <w:bCs/>
              </w:rPr>
              <w:t>bank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as</w:t>
            </w:r>
            <w:proofErr w:type="spellEnd"/>
            <w:r>
              <w:rPr>
                <w:bCs/>
              </w:rPr>
              <w:t xml:space="preserve"> a </w:t>
            </w:r>
            <w:proofErr w:type="spellStart"/>
            <w:r>
              <w:rPr>
                <w:bCs/>
              </w:rPr>
              <w:t>service</w:t>
            </w:r>
            <w:proofErr w:type="spellEnd"/>
            <w:r>
              <w:rPr>
                <w:bCs/>
              </w:rPr>
              <w:t xml:space="preserve">» — «банк как сервис»). «Преимущества этого подхода с точки зрения скорости очевидны, но в этом случае всегда возникает вопрос интеграции с существующими системами банка», — поясняет Ангаров. Проведенный BCG опрос на тему цифровизации среди руководителей в корпоративном банковском секторе показал, что, по мнению подавляющего большинства респондентов (86%), цифровизация изменит как конкурентную среду, так и экономику их банков. При этом менее половины опрошенных (43%) сообщили, что у них есть четкая стратегия цифровизации. Аналитики BCG выделяют три наиболее эффективных направления цифровой трансформации для корпоративных банков. Во-первых, это цифровизация всего взаимодействия клиента и банка, что принесет выгоду как с точки зрения удовлетворенности клиентов, так и с точки зрения затрат на внутренние процессы. Второе направление предполагает использование цифровых инструментов для поддержки продаж, таких как удаленный интерфейс клиентского менеджера, динамическое ценообразование, использование искусственного интеллекта для цифровизации рутинных операций и другие. Наконец, банкам необходимо выстроить систему управления большими данными и адаптировать к новым требованиям IT-архитектуру. Сегодня доходность корпоративного бизнеса в России во всех клиентских сегментах находится под давлением, полагает Дмитрий Ангаров. По его словам, российским банкам, </w:t>
            </w:r>
            <w:proofErr w:type="gramStart"/>
            <w:r>
              <w:rPr>
                <w:bCs/>
              </w:rPr>
              <w:t>также</w:t>
            </w:r>
            <w:proofErr w:type="gramEnd"/>
            <w:r>
              <w:rPr>
                <w:bCs/>
              </w:rPr>
              <w:t xml:space="preserve"> как и их иностранным коллегам, достаточно трудно показывать приемлемую норму доходности без </w:t>
            </w:r>
            <w:r>
              <w:rPr>
                <w:bCs/>
              </w:rPr>
              <w:lastRenderedPageBreak/>
              <w:t>радикальных изменений бизнес-модели, так как классические методы повышения рентабельности бизнеса зачастую уже испробованы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  <w:u w:val="single"/>
              </w:rPr>
              <w:t>Вопросы к заданию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1. Какие цифровые операции банки могут предложить крупному корпоративному бизнесу? Как это отразиться на доходности и рентабельности банков?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2. Как систему управления большими данными (</w:t>
            </w:r>
            <w:r>
              <w:rPr>
                <w:bCs/>
                <w:lang w:val="en-US"/>
              </w:rPr>
              <w:t>Big</w:t>
            </w:r>
            <w:r>
              <w:rPr>
                <w:bCs/>
              </w:rPr>
              <w:t xml:space="preserve"> </w:t>
            </w:r>
            <w:r>
              <w:rPr>
                <w:bCs/>
                <w:lang w:val="en-US"/>
              </w:rPr>
              <w:t>Data</w:t>
            </w:r>
            <w:r>
              <w:rPr>
                <w:bCs/>
              </w:rPr>
              <w:t>) можно применять в обслуживании корпоративных клиентов? Какое влияние это может оказать на рентабельность банков и уровень их финансовой устойчивости?</w:t>
            </w:r>
          </w:p>
          <w:p w:rsidR="002A6BE5" w:rsidRDefault="002A6BE5">
            <w:pPr>
              <w:tabs>
                <w:tab w:val="right" w:leader="dot" w:pos="9345"/>
              </w:tabs>
              <w:ind w:firstLine="317"/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Соберите информацию из открытых источников структурированных данных для анализа структуры и качества собственного капитала ПАО МКБ за 5 лет (квартальные даты):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 - состав и структура капитала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нормативы достаточности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структура совокупного риска (риск-взвешенных активов)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 - коэффициент усредненной генерации капитала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источники прироста капитала.</w:t>
            </w:r>
          </w:p>
          <w:p w:rsidR="002A6BE5" w:rsidRDefault="00555006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Проанализируйте собранные данные с помощью приложения для бизнес-анализа (</w:t>
            </w:r>
            <w:proofErr w:type="spellStart"/>
            <w:r>
              <w:rPr>
                <w:bCs/>
              </w:rPr>
              <w:t>Yandex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DataLens</w:t>
            </w:r>
            <w:proofErr w:type="spellEnd"/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Power</w:t>
            </w:r>
            <w:proofErr w:type="spellEnd"/>
            <w:r>
              <w:rPr>
                <w:bCs/>
              </w:rPr>
              <w:t xml:space="preserve"> BI </w:t>
            </w:r>
            <w:proofErr w:type="spellStart"/>
            <w:r>
              <w:rPr>
                <w:bCs/>
              </w:rPr>
              <w:t>Desktop</w:t>
            </w:r>
            <w:proofErr w:type="spellEnd"/>
            <w:r>
              <w:rPr>
                <w:bCs/>
              </w:rPr>
              <w:t>), результаты представьте в виде интерактивных панелей: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3-х диаграмм,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2-х таблиц.</w:t>
            </w:r>
          </w:p>
          <w:p w:rsidR="002A6BE5" w:rsidRDefault="00555006">
            <w:pPr>
              <w:tabs>
                <w:tab w:val="right" w:leader="dot" w:pos="9345"/>
              </w:tabs>
            </w:pPr>
            <w:r>
              <w:rPr>
                <w:bCs/>
              </w:rPr>
              <w:t>Составьте мотивированное заключение</w:t>
            </w:r>
          </w:p>
        </w:tc>
      </w:tr>
      <w:tr w:rsidR="002A6BE5">
        <w:tc>
          <w:tcPr>
            <w:tcW w:w="2289" w:type="dxa"/>
          </w:tcPr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ПКН-3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Способность проводить анализ, обобщать и критически оценивать </w:t>
            </w:r>
            <w:r>
              <w:lastRenderedPageBreak/>
              <w:t>полученные результаты исследования для разработки финансовых аспектов перспективных направлений инновационного развития, минимизации рисков, достижения финансовой устойчивости организаций (включая финансово-кредитные организации), долгосрочной устойчивости бюджетной системы, составления финансовых обзоров, экспертно-аналитических заключений, отчетов и  научных публикаций в области финансов и кредита</w:t>
            </w:r>
          </w:p>
        </w:tc>
        <w:tc>
          <w:tcPr>
            <w:tcW w:w="2667" w:type="dxa"/>
          </w:tcPr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1. Владеет методами прикладных научных исследований в профессиональной сфере.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Применяет современные методы анализа и оценки рисков деятельности организаций (включая финансово-кредитные </w:t>
            </w:r>
            <w:r>
              <w:rPr>
                <w:bCs/>
              </w:rPr>
              <w:lastRenderedPageBreak/>
              <w:t>организации), бюджетных рисков и предлагает решения по их минимизации в контексте достижения финансовой стабильности и долгосрочной устойчивости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Разрабатывает направления инновационного развития как организаций (включая финансово-кредитные организации), отдельных продуктов и услуг, так и публично-правовых образований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4. Оформляет результаты анализа и оценки в форме финансовых обзоров, экспертно-аналитических заключений, отчетов и научных публикаций.</w:t>
            </w:r>
          </w:p>
        </w:tc>
        <w:tc>
          <w:tcPr>
            <w:tcW w:w="2698" w:type="dxa"/>
          </w:tcPr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 xml:space="preserve">1.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 xml:space="preserve">: - сходства и различия российских и зарубежных методик оценки перспективной финансовой </w:t>
            </w:r>
            <w:r>
              <w:rPr>
                <w:bCs/>
              </w:rPr>
              <w:lastRenderedPageBreak/>
              <w:t>устойчивости коммерческих банков;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находить и обобщать информацию, необходимую для проведения анализа и оценки финансового состояния коммерческого банка;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2.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 xml:space="preserve">: - особенности российских и зарубежных моделей оценки финансовой устойчивости банков, </w:t>
            </w:r>
            <w:r>
              <w:rPr>
                <w:bCs/>
              </w:rPr>
              <w:lastRenderedPageBreak/>
              <w:t>применяемых органами банковского надзора,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проводить комплексный анализ и интерпретацию финансовой, бухгалтерской и иной информации для оценки перспектив деятельности кредитной организации.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3.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теоретические, методологические и организационные подходы к оценке финансовой устойчивости коммерческого банка и перспектив его деятельности;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прогнозировать уровень финансовой устойчивости коммерческого банка на различных горизонтах планирования;</w:t>
            </w: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</w:pP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4. 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теоретические, методологические и организационные подходы к оценке финансовой устойчивости коммерческого банка и перспектив его деятельности,</w:t>
            </w:r>
          </w:p>
          <w:p w:rsidR="002A6BE5" w:rsidRDefault="00555006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составлять мотивированные </w:t>
            </w:r>
            <w:r>
              <w:lastRenderedPageBreak/>
              <w:t>заключения и аналитические записки о различных сторонах деятельности банка.</w:t>
            </w:r>
          </w:p>
        </w:tc>
        <w:tc>
          <w:tcPr>
            <w:tcW w:w="7428" w:type="dxa"/>
          </w:tcPr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По данным таблицы 1 оцените, используя метод «чистых ликвидных активов», ликвидность Группы "Сбербанк" для временного интервала до 30 дней. Сформулируйте выводы и дайте оценку полученным результатам.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В учебных целях будем считать, что доля нестабильной (летучей) </w:t>
            </w:r>
            <w:r>
              <w:rPr>
                <w:bCs/>
              </w:rPr>
              <w:lastRenderedPageBreak/>
              <w:t>части в составе депозитов до востребования составляет 15%.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Остатки на счетах до </w:t>
            </w:r>
            <w:proofErr w:type="spellStart"/>
            <w:r>
              <w:rPr>
                <w:bCs/>
              </w:rPr>
              <w:t>востреб</w:t>
            </w:r>
            <w:proofErr w:type="spellEnd"/>
            <w:r>
              <w:rPr>
                <w:bCs/>
              </w:rPr>
              <w:t>. составляют 3 844,9 млрд руб., в т.ч.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Средства банков – 138,7 млрд руб.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Средства физических лиц – 1 886,2 млрд руб.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Средства корпоративных клиентов – 1 820,0 млрд руб.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Согласно расшифровке, в структуре инвестиционных ценных бумаг, удерживаемых до погашения (117,9 млрд руб.), 75,2 млрд руб. приходится на государственные облигации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Таблица 1.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Временная структура баланса группы «Сбербанк», млрд руб.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620260" cy="5019675"/>
                  <wp:effectExtent l="0" t="0" r="0" b="0"/>
                  <wp:docPr id="15" name="Рисунок 312856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312856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0260" cy="501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Исходя из представленных данных об элементах собственного (регуляторного) капитала, необходимо: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−</w:t>
            </w:r>
            <w:r>
              <w:rPr>
                <w:bCs/>
              </w:rPr>
              <w:tab/>
              <w:t>указать элементы основного и дополнительного капитала;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определить величину базового, добавочного, основного, дополнительного и собственного капитала банка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5515" w:type="dxa"/>
              <w:tblInd w:w="171" w:type="dxa"/>
              <w:tblLayout w:type="fixed"/>
              <w:tblLook w:val="04A0" w:firstRow="1" w:lastRow="0" w:firstColumn="1" w:lastColumn="0" w:noHBand="0" w:noVBand="1"/>
            </w:tblPr>
            <w:tblGrid>
              <w:gridCol w:w="793"/>
              <w:gridCol w:w="3743"/>
              <w:gridCol w:w="979"/>
            </w:tblGrid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Компонент для расчета капитала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Сумма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Уставный капитал (обыкновенные акции)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258 000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Эмиссионный доход, сформированный при размещении обыкновенных акций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53 500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Часть резервного фонда (за счет прибыли предшествующих лет, подтвержденной аудитором)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14 300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Нераспределенная прибыль предшествующих лет (подтверждена аудитором)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1 820 000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Нематериальные активы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1 100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Субординированный заем с дополнительными условиями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80 000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Прибыль текущего года (ее часть), не подтвержденная аудиторской организацией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410 000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Субординированный кредит по остаточной стоимости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500 000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Прирост стоимости имущества кредитной организации за счет переоценки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40 500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Просроченная дебиторская задолженность длительностью свыше 30 календарных дней, учитываемая на балансовых счетах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20</w:t>
                  </w:r>
                </w:p>
              </w:tc>
            </w:tr>
          </w:tbl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Исходя из представленных данных, необходимо: 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определить величину базового, добавочного, основного, дополнительного и собственного капитала банка;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 xml:space="preserve">вычислить значения нормативов достаточности базового, </w:t>
            </w:r>
            <w:r>
              <w:rPr>
                <w:bCs/>
              </w:rPr>
              <w:lastRenderedPageBreak/>
              <w:t>основного и собственного капитала, а также определить их соответствие требуемым минимальным значениям (Инструкция Банка России № 180-И от 28.06.2017)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  <w:sz w:val="20"/>
                <w:szCs w:val="20"/>
              </w:rPr>
              <w:t>млрд руб</w:t>
            </w:r>
            <w:r>
              <w:rPr>
                <w:bCs/>
              </w:rPr>
              <w:t>.</w:t>
            </w:r>
          </w:p>
          <w:tbl>
            <w:tblPr>
              <w:tblW w:w="5515" w:type="dxa"/>
              <w:tblInd w:w="171" w:type="dxa"/>
              <w:tblLayout w:type="fixed"/>
              <w:tblLook w:val="04A0" w:firstRow="1" w:lastRow="0" w:firstColumn="1" w:lastColumn="0" w:noHBand="0" w:noVBand="1"/>
            </w:tblPr>
            <w:tblGrid>
              <w:gridCol w:w="793"/>
              <w:gridCol w:w="3743"/>
              <w:gridCol w:w="979"/>
            </w:tblGrid>
            <w:tr w:rsidR="002A6BE5">
              <w:tc>
                <w:tcPr>
                  <w:tcW w:w="793" w:type="dxa"/>
                </w:tcPr>
                <w:p w:rsidR="002A6BE5" w:rsidRDefault="00555006">
                  <w:pPr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Компонент для расчета капитала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Сумма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Уставный капитал (обыкновенные акции)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590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Эмиссионный доход, сформированный при размещении обыкновенных акций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19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Часть резервного фонда (за счет прибыли предшествующих лет, подтвержденной аудитором)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35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Нераспределенная прибыль предшествующих лет (подтверждена аудитором)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1 400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Нематериальные активы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Предоставленный субординированный кредит без ограничения срока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65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Прибыль текущего года (ее часть), не подтвержденная аудиторской организацией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Привилегированные акции без особых условий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20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Субординированный кредит по остаточной стоимости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130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Часть резервного фонда (за счет прибыли текущего года, не подтвержденной аудитором)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30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Прирост стоимости имущества кредитной организации за счет переоценки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55</w:t>
                  </w:r>
                </w:p>
              </w:tc>
            </w:tr>
            <w:tr w:rsidR="002A6BE5">
              <w:tc>
                <w:tcPr>
                  <w:tcW w:w="793" w:type="dxa"/>
                </w:tcPr>
                <w:p w:rsidR="002A6BE5" w:rsidRDefault="00555006">
                  <w:pPr>
                    <w:spacing w:after="60" w:line="254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3743" w:type="dxa"/>
                </w:tcPr>
                <w:p w:rsidR="002A6BE5" w:rsidRDefault="00555006">
                  <w:pPr>
                    <w:spacing w:after="60" w:line="254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 xml:space="preserve">Просроченная дебиторская задолженность длительностью свыше 30 календарных дней, учитываемая на </w:t>
                  </w:r>
                  <w:r>
                    <w:rPr>
                      <w:bCs/>
                      <w:color w:val="000000"/>
                      <w:sz w:val="20"/>
                      <w:szCs w:val="20"/>
                    </w:rPr>
                    <w:lastRenderedPageBreak/>
                    <w:t>балансовых счетах</w:t>
                  </w:r>
                </w:p>
              </w:tc>
              <w:tc>
                <w:tcPr>
                  <w:tcW w:w="979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lastRenderedPageBreak/>
                    <w:t>20</w:t>
                  </w:r>
                </w:p>
              </w:tc>
            </w:tr>
          </w:tbl>
          <w:p w:rsidR="002A6BE5" w:rsidRDefault="002A6BE5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  <w:sz w:val="20"/>
                <w:szCs w:val="20"/>
              </w:rP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4707"/>
              <w:gridCol w:w="1122"/>
            </w:tblGrid>
            <w:tr w:rsidR="002A6BE5">
              <w:tc>
                <w:tcPr>
                  <w:tcW w:w="4706" w:type="dxa"/>
                </w:tcPr>
                <w:p w:rsidR="002A6BE5" w:rsidRDefault="00555006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Сумма активов, взвешенных с учетом риска, для расчета достаточности </w:t>
                  </w:r>
                  <w:r>
                    <w:rPr>
                      <w:b/>
                      <w:color w:val="000000"/>
                      <w:sz w:val="20"/>
                      <w:szCs w:val="20"/>
                    </w:rPr>
                    <w:t>базового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капитала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32 400</w:t>
                  </w:r>
                </w:p>
              </w:tc>
            </w:tr>
            <w:tr w:rsidR="002A6BE5">
              <w:tc>
                <w:tcPr>
                  <w:tcW w:w="4706" w:type="dxa"/>
                </w:tcPr>
                <w:p w:rsidR="002A6BE5" w:rsidRDefault="00555006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Сумма активов, взвешенных с учетом риска, для расчета достаточности </w:t>
                  </w:r>
                  <w:r>
                    <w:rPr>
                      <w:b/>
                      <w:color w:val="000000"/>
                      <w:sz w:val="20"/>
                      <w:szCs w:val="20"/>
                    </w:rPr>
                    <w:t>основного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капитала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32 400</w:t>
                  </w:r>
                </w:p>
              </w:tc>
            </w:tr>
            <w:tr w:rsidR="002A6BE5">
              <w:tc>
                <w:tcPr>
                  <w:tcW w:w="4706" w:type="dxa"/>
                </w:tcPr>
                <w:p w:rsidR="002A6BE5" w:rsidRDefault="00555006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Сумма активов, взвешенных с учетом риска, для расчета достаточности </w:t>
                  </w:r>
                  <w:r>
                    <w:rPr>
                      <w:b/>
                      <w:color w:val="000000"/>
                      <w:sz w:val="20"/>
                      <w:szCs w:val="20"/>
                    </w:rPr>
                    <w:t>собственного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капитала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32 400</w:t>
                  </w:r>
                </w:p>
              </w:tc>
            </w:tr>
          </w:tbl>
          <w:p w:rsidR="002A6BE5" w:rsidRDefault="002A6BE5">
            <w:pPr>
              <w:rPr>
                <w:color w:val="00B050"/>
              </w:rPr>
            </w:pPr>
          </w:p>
          <w:p w:rsidR="002A6BE5" w:rsidRDefault="002A6BE5">
            <w:pPr>
              <w:tabs>
                <w:tab w:val="right" w:leader="dot" w:pos="9345"/>
              </w:tabs>
              <w:rPr>
                <w:color w:val="00B050"/>
              </w:rPr>
            </w:pPr>
          </w:p>
          <w:p w:rsidR="002A6BE5" w:rsidRDefault="00555006">
            <w:pPr>
              <w:tabs>
                <w:tab w:val="left" w:pos="540"/>
              </w:tabs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Рассмотрите несколько вариантов моделирования прироста активов относительно первоначального уровня с учетом следующих факторов: изменения рентабельности активов (ROA), дивидендной политики и привлечения внешних источников капитала. В первых двух вариантах внешнее привлечение капитала (за счет выпуска акций, привлечения субординированного кредита и др.) невозможно. 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В вашем распоряжении первоначальные данные по объему активов банка, уровню их рентабельности, дивидендной политике и показателю доли капитала в валюте баланса банка (Таблица 1). В каждом из вариантов необходимо обеспечить, чтобы доля капитала в валюте баланса банка оставалась неизменной относительно первоначальных данных.  </w:t>
            </w:r>
            <w:r>
              <w:rPr>
                <w:bCs/>
                <w:u w:val="single"/>
              </w:rPr>
              <w:t>Требуется определить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1. целевой объем активов и капитала банка, величину чистой и нераспределенной прибыли, а также необходимый объем увеличения капитала (для каждого из вариантов);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2. необходимый уровень рентабельности активов (вариант 1), доли прибыли, уплачиваемой в виде дивидендов (вариант 2), и размер привлекаемого внешнего капитала (вариант 3), необходимые банку, чтобы обеспечить требуемое соотношение капитала и валюты баланса банка.</w:t>
            </w:r>
          </w:p>
          <w:p w:rsidR="002A6BE5" w:rsidRDefault="00555006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Таблица 1. Данные о размере активов и капитала банка и его финансовых показателях (первоначальные и прогнозируемые)</w:t>
            </w:r>
          </w:p>
          <w:tbl>
            <w:tblPr>
              <w:tblW w:w="6448" w:type="dxa"/>
              <w:tblLayout w:type="fixed"/>
              <w:tblLook w:val="04A0" w:firstRow="1" w:lastRow="0" w:firstColumn="1" w:lastColumn="0" w:noHBand="0" w:noVBand="1"/>
            </w:tblPr>
            <w:tblGrid>
              <w:gridCol w:w="1871"/>
              <w:gridCol w:w="1122"/>
              <w:gridCol w:w="929"/>
              <w:gridCol w:w="1286"/>
              <w:gridCol w:w="1240"/>
            </w:tblGrid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lastRenderedPageBreak/>
                    <w:t>Наименование показателей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b/>
                      <w:bCs/>
                      <w:sz w:val="18"/>
                      <w:szCs w:val="18"/>
                    </w:rPr>
                  </w:pPr>
                  <w:proofErr w:type="spellStart"/>
                  <w:proofErr w:type="gramStart"/>
                  <w:r>
                    <w:rPr>
                      <w:b/>
                      <w:bCs/>
                      <w:sz w:val="18"/>
                      <w:szCs w:val="18"/>
                    </w:rPr>
                    <w:t>Перво</w:t>
                  </w:r>
                  <w:proofErr w:type="spellEnd"/>
                  <w:r>
                    <w:rPr>
                      <w:b/>
                      <w:bCs/>
                      <w:sz w:val="18"/>
                      <w:szCs w:val="18"/>
                    </w:rPr>
                    <w:t>-начальные</w:t>
                  </w:r>
                  <w:proofErr w:type="gramEnd"/>
                  <w:r>
                    <w:rPr>
                      <w:b/>
                      <w:bCs/>
                      <w:sz w:val="18"/>
                      <w:szCs w:val="18"/>
                    </w:rPr>
                    <w:t xml:space="preserve"> данные </w:t>
                  </w:r>
                </w:p>
              </w:tc>
              <w:tc>
                <w:tcPr>
                  <w:tcW w:w="929" w:type="dxa"/>
                </w:tcPr>
                <w:p w:rsidR="002A6BE5" w:rsidRDefault="00555006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Прирост активов на 12% (рост ROA)</w:t>
                  </w:r>
                </w:p>
              </w:tc>
              <w:tc>
                <w:tcPr>
                  <w:tcW w:w="1286" w:type="dxa"/>
                </w:tcPr>
                <w:p w:rsidR="002A6BE5" w:rsidRDefault="00555006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Прирост активов на 10% (уменьшение дивидендов)</w:t>
                  </w:r>
                </w:p>
              </w:tc>
              <w:tc>
                <w:tcPr>
                  <w:tcW w:w="1240" w:type="dxa"/>
                </w:tcPr>
                <w:p w:rsidR="002A6BE5" w:rsidRDefault="00555006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Прирост активов на 14% (за счет внешних источников)</w:t>
                  </w: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2A6BE5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122" w:type="dxa"/>
                </w:tcPr>
                <w:p w:rsidR="002A6BE5" w:rsidRDefault="002A6BE5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929" w:type="dxa"/>
                </w:tcPr>
                <w:p w:rsidR="002A6BE5" w:rsidRDefault="00555006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Вариант 1</w:t>
                  </w:r>
                </w:p>
              </w:tc>
              <w:tc>
                <w:tcPr>
                  <w:tcW w:w="1286" w:type="dxa"/>
                </w:tcPr>
                <w:p w:rsidR="002A6BE5" w:rsidRDefault="00555006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Вариант 2</w:t>
                  </w:r>
                </w:p>
              </w:tc>
              <w:tc>
                <w:tcPr>
                  <w:tcW w:w="1240" w:type="dxa"/>
                </w:tcPr>
                <w:p w:rsidR="002A6BE5" w:rsidRDefault="00555006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Вариант 3</w:t>
                  </w: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Активы, млн. руб.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520  </w:t>
                  </w:r>
                </w:p>
              </w:tc>
              <w:tc>
                <w:tcPr>
                  <w:tcW w:w="929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86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40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spacing w:after="12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Прирост активов, %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92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12,00%</w:t>
                  </w:r>
                </w:p>
              </w:tc>
              <w:tc>
                <w:tcPr>
                  <w:tcW w:w="1286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10,00%</w:t>
                  </w:r>
                </w:p>
              </w:tc>
              <w:tc>
                <w:tcPr>
                  <w:tcW w:w="1240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14,00%</w:t>
                  </w: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Рентабельность активов ROA (в %)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1,00%</w:t>
                  </w:r>
                </w:p>
              </w:tc>
              <w:tc>
                <w:tcPr>
                  <w:tcW w:w="929" w:type="dxa"/>
                  <w:shd w:val="clear" w:color="auto" w:fill="FBE4D5" w:themeFill="accent2" w:themeFillTint="33"/>
                  <w:vAlign w:val="center"/>
                </w:tcPr>
                <w:p w:rsidR="002A6BE5" w:rsidRDefault="00555006">
                  <w:pPr>
                    <w:jc w:val="center"/>
                    <w:rPr>
                      <w:b/>
                      <w:bCs/>
                      <w:sz w:val="28"/>
                      <w:szCs w:val="20"/>
                    </w:rPr>
                  </w:pPr>
                  <w:r>
                    <w:rPr>
                      <w:b/>
                      <w:bCs/>
                      <w:sz w:val="32"/>
                      <w:szCs w:val="20"/>
                      <w:lang w:val="en-US"/>
                    </w:rPr>
                    <w:t>?</w:t>
                  </w:r>
                </w:p>
              </w:tc>
              <w:tc>
                <w:tcPr>
                  <w:tcW w:w="1286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1,00%</w:t>
                  </w:r>
                </w:p>
              </w:tc>
              <w:tc>
                <w:tcPr>
                  <w:tcW w:w="1240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1,00%</w:t>
                  </w: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Доля прибыли, выплачиваемая в виде дивидендов (в %)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30%</w:t>
                  </w:r>
                </w:p>
              </w:tc>
              <w:tc>
                <w:tcPr>
                  <w:tcW w:w="92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30%</w:t>
                  </w:r>
                </w:p>
              </w:tc>
              <w:tc>
                <w:tcPr>
                  <w:tcW w:w="1286" w:type="dxa"/>
                  <w:shd w:val="clear" w:color="auto" w:fill="FBE4D5" w:themeFill="accent2" w:themeFillTint="33"/>
                  <w:vAlign w:val="center"/>
                </w:tcPr>
                <w:p w:rsidR="002A6BE5" w:rsidRDefault="00555006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32"/>
                      <w:szCs w:val="20"/>
                    </w:rPr>
                    <w:t>?</w:t>
                  </w:r>
                </w:p>
              </w:tc>
              <w:tc>
                <w:tcPr>
                  <w:tcW w:w="1240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30%</w:t>
                  </w: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Нераспределенная прибыль, млн. руб.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29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86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40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Капитал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52,00  </w:t>
                  </w:r>
                </w:p>
              </w:tc>
              <w:tc>
                <w:tcPr>
                  <w:tcW w:w="929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86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40" w:type="dxa"/>
                </w:tcPr>
                <w:p w:rsidR="002A6BE5" w:rsidRDefault="002A6BE5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Капитал /Активы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10,0%</w:t>
                  </w:r>
                </w:p>
              </w:tc>
              <w:tc>
                <w:tcPr>
                  <w:tcW w:w="929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10,0%</w:t>
                  </w:r>
                </w:p>
              </w:tc>
              <w:tc>
                <w:tcPr>
                  <w:tcW w:w="1286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10,0%</w:t>
                  </w:r>
                </w:p>
              </w:tc>
              <w:tc>
                <w:tcPr>
                  <w:tcW w:w="1240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10,0%</w:t>
                  </w:r>
                </w:p>
              </w:tc>
            </w:tr>
            <w:tr w:rsidR="002A6BE5">
              <w:tc>
                <w:tcPr>
                  <w:tcW w:w="1871" w:type="dxa"/>
                </w:tcPr>
                <w:p w:rsidR="002A6BE5" w:rsidRDefault="00555006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Внешнее привлечение капитала</w:t>
                  </w:r>
                </w:p>
              </w:tc>
              <w:tc>
                <w:tcPr>
                  <w:tcW w:w="1122" w:type="dxa"/>
                </w:tcPr>
                <w:p w:rsidR="002A6BE5" w:rsidRDefault="00555006">
                  <w:pPr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2215" w:type="dxa"/>
                  <w:gridSpan w:val="2"/>
                </w:tcPr>
                <w:p w:rsidR="002A6BE5" w:rsidRDefault="00555006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Невозможно</w:t>
                  </w:r>
                </w:p>
              </w:tc>
              <w:tc>
                <w:tcPr>
                  <w:tcW w:w="1240" w:type="dxa"/>
                  <w:shd w:val="clear" w:color="auto" w:fill="FBE4D5" w:themeFill="accent2" w:themeFillTint="33"/>
                  <w:vAlign w:val="center"/>
                </w:tcPr>
                <w:p w:rsidR="002A6BE5" w:rsidRDefault="0055500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8"/>
                      <w:szCs w:val="20"/>
                    </w:rPr>
                    <w:t>?</w:t>
                  </w:r>
                </w:p>
              </w:tc>
            </w:tr>
          </w:tbl>
          <w:p w:rsidR="002A6BE5" w:rsidRDefault="002A6BE5">
            <w:pPr>
              <w:rPr>
                <w:color w:val="00B050"/>
              </w:rPr>
            </w:pPr>
          </w:p>
          <w:p w:rsidR="002A6BE5" w:rsidRDefault="002A6BE5">
            <w:pPr>
              <w:tabs>
                <w:tab w:val="right" w:leader="dot" w:pos="9345"/>
              </w:tabs>
              <w:rPr>
                <w:color w:val="00B050"/>
              </w:rPr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Используя имеющиеся данные (в таблицах 1, 2 и 3), проведите оценку качества и достаточности собственного капитала банка. </w:t>
            </w: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определить и оценить структуру капитала банка в разрезе его элементов (в % к итогу);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рассчитать показатели мультипликатора капитала, долю совокупного риска к общей сумме балансовых активов, а также нормативы достаточности капитала банка и определить соответствие их фактического уровня требованиям ЦБ РФ;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3. проанализировать источники прироста собственного капитала банка </w:t>
            </w:r>
            <w:r>
              <w:rPr>
                <w:bCs/>
              </w:rPr>
              <w:lastRenderedPageBreak/>
              <w:t>за отчетный год (Таблица 3);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мотивированное заключение по результатам проведенного анализа.</w:t>
            </w: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1. Информация о размере собственного капитала банка и его элементах, на конец года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3545"/>
              <w:gridCol w:w="851"/>
              <w:gridCol w:w="838"/>
            </w:tblGrid>
            <w:tr w:rsidR="002A6BE5">
              <w:tc>
                <w:tcPr>
                  <w:tcW w:w="595" w:type="dxa"/>
                </w:tcPr>
                <w:p w:rsidR="002A6BE5" w:rsidRDefault="00555006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3544" w:type="dxa"/>
                </w:tcPr>
                <w:p w:rsidR="002A6BE5" w:rsidRDefault="00555006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Элемент собственного капитала</w:t>
                  </w:r>
                </w:p>
              </w:tc>
              <w:tc>
                <w:tcPr>
                  <w:tcW w:w="851" w:type="dxa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2016</w:t>
                  </w:r>
                </w:p>
              </w:tc>
              <w:tc>
                <w:tcPr>
                  <w:tcW w:w="838" w:type="dxa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Основной капитал (</w:t>
                  </w:r>
                  <w:r>
                    <w:rPr>
                      <w:rFonts w:eastAsia="Calibri"/>
                      <w:b/>
                      <w:sz w:val="18"/>
                      <w:szCs w:val="18"/>
                      <w:lang w:val="en-US"/>
                    </w:rPr>
                    <w:t xml:space="preserve">I </w:t>
                  </w:r>
                  <w:r>
                    <w:rPr>
                      <w:rFonts w:eastAsia="Calibri"/>
                      <w:b/>
                      <w:sz w:val="18"/>
                      <w:szCs w:val="18"/>
                    </w:rPr>
                    <w:t>уровня)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16 617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14 577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16 617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14 577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1.1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Уставный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2 195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2 195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ind w:left="175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обыкновенные акции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2 195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2195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ind w:left="175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привилегированные акции (выпущены до 01.03.13, некумулятивные)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1.2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Эмиссионный доход, связанный с акциями, включенными в базовый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4 693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4 693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1.3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Резервный фонд (за счет прибыли, подтвержденной аудиторским заключением)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374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374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1.4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Нераспределенная прибыль, подтвержденная аудиторским заключением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10 805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9 087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прошлых лет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10 805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 xml:space="preserve"> 9 087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отчетного года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1.5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Нематериальные активы за минусом износа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(113)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(162)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1.6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Сумма налога на прибыль, подлежащая возмещению в будущих периодах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(726)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1.7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Отрицательная величина добавочного капитала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(82)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(43)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1.8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Убытки прошлых лет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1.9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Убыток текущего года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(1 255)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(841)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Добавочный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-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Дополнительный капитал (</w:t>
                  </w:r>
                  <w:r>
                    <w:rPr>
                      <w:rFonts w:eastAsia="Calibri"/>
                      <w:b/>
                      <w:sz w:val="18"/>
                      <w:szCs w:val="18"/>
                      <w:lang w:val="en-US"/>
                    </w:rPr>
                    <w:t xml:space="preserve">II </w:t>
                  </w:r>
                  <w:proofErr w:type="spellStart"/>
                  <w:r>
                    <w:rPr>
                      <w:rFonts w:eastAsia="Calibri"/>
                      <w:b/>
                      <w:sz w:val="18"/>
                      <w:szCs w:val="18"/>
                      <w:lang w:val="en-US"/>
                    </w:rPr>
                    <w:t>уровня</w:t>
                  </w:r>
                  <w:proofErr w:type="spellEnd"/>
                  <w:r>
                    <w:rPr>
                      <w:rFonts w:eastAsia="Calibri"/>
                      <w:b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8 634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6 435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2.1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Субординированный кредит по остаточной стоимости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8 581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6 310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2.2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Прибыль текущего года, не подтвержденная аудиторским заключением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2.3</w:t>
                  </w: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Прирост стоимости имущества за счет переоценки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53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125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Итого собственный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25 251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21 012</w:t>
                  </w:r>
                </w:p>
              </w:tc>
            </w:tr>
          </w:tbl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  <w:bCs/>
              </w:rPr>
              <w:t>Таблица 2. Информация о структуре совокупного риска банка, млн руб. на конец года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3404"/>
              <w:gridCol w:w="992"/>
              <w:gridCol w:w="838"/>
            </w:tblGrid>
            <w:tr w:rsidR="002A6BE5">
              <w:tc>
                <w:tcPr>
                  <w:tcW w:w="595" w:type="dxa"/>
                </w:tcPr>
                <w:p w:rsidR="002A6BE5" w:rsidRDefault="00555006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3403" w:type="dxa"/>
                </w:tcPr>
                <w:p w:rsidR="002A6BE5" w:rsidRDefault="00555006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Элемент совокупного риска</w:t>
                  </w:r>
                </w:p>
              </w:tc>
              <w:tc>
                <w:tcPr>
                  <w:tcW w:w="992" w:type="dxa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2016</w:t>
                  </w:r>
                </w:p>
              </w:tc>
              <w:tc>
                <w:tcPr>
                  <w:tcW w:w="838" w:type="dxa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1.1</w:t>
                  </w: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Кредитный риск по балансовым активам (взвешенным по уровню риска)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118 485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103 119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1.2</w:t>
                  </w: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 xml:space="preserve">Операции с повышенным коэффициентом (ПК и </w:t>
                  </w:r>
                  <w:proofErr w:type="spellStart"/>
                  <w:r>
                    <w:rPr>
                      <w:rFonts w:eastAsia="Calibri"/>
                      <w:sz w:val="18"/>
                      <w:szCs w:val="18"/>
                    </w:rPr>
                    <w:t>ПКв</w:t>
                  </w:r>
                  <w:proofErr w:type="spellEnd"/>
                  <w:r>
                    <w:rPr>
                      <w:rFonts w:eastAsia="Calibri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31 847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33 851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1.3</w:t>
                  </w: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Операционный риск (ОР) с k=12,5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1 528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1 652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1.4</w:t>
                  </w: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Рыночный риск (РР)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10 664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14 349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1.5</w:t>
                  </w: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Кредитный риск по словным обязательствам кредитного характера (КРВ)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20 942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13 889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1.6</w:t>
                  </w: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Прочие элементы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22 733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15 223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Итого величина совокупного риска банка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center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206 198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center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182 083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403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 xml:space="preserve">Для справки. </w:t>
                  </w:r>
                  <w:r>
                    <w:rPr>
                      <w:rFonts w:eastAsia="Calibri"/>
                      <w:sz w:val="18"/>
                      <w:szCs w:val="18"/>
                    </w:rPr>
                    <w:t>Валюта баланса</w:t>
                  </w:r>
                </w:p>
              </w:tc>
              <w:tc>
                <w:tcPr>
                  <w:tcW w:w="992" w:type="dxa"/>
                  <w:vAlign w:val="center"/>
                </w:tcPr>
                <w:p w:rsidR="002A6BE5" w:rsidRDefault="00555006">
                  <w:pPr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198 861</w:t>
                  </w:r>
                </w:p>
              </w:tc>
              <w:tc>
                <w:tcPr>
                  <w:tcW w:w="838" w:type="dxa"/>
                  <w:vAlign w:val="center"/>
                </w:tcPr>
                <w:p w:rsidR="002A6BE5" w:rsidRDefault="00555006">
                  <w:pPr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214 486</w:t>
                  </w:r>
                </w:p>
              </w:tc>
            </w:tr>
          </w:tbl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555006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3. Источники прироста собственного капитала банка по укрупненным статьям, млн руб. за год</w:t>
            </w: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p w:rsidR="002A6BE5" w:rsidRDefault="002A6BE5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4254"/>
              <w:gridCol w:w="980"/>
            </w:tblGrid>
            <w:tr w:rsidR="002A6BE5">
              <w:tc>
                <w:tcPr>
                  <w:tcW w:w="595" w:type="dxa"/>
                </w:tcPr>
                <w:p w:rsidR="002A6BE5" w:rsidRDefault="00555006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4254" w:type="dxa"/>
                </w:tcPr>
                <w:p w:rsidR="002A6BE5" w:rsidRDefault="00555006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Источники прироста капитала</w:t>
                  </w:r>
                </w:p>
              </w:tc>
              <w:tc>
                <w:tcPr>
                  <w:tcW w:w="980" w:type="dxa"/>
                </w:tcPr>
                <w:p w:rsidR="002A6BE5" w:rsidRDefault="00555006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2017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Внутренние источники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(1 303)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1.1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Нераспределенная прибыль и резервный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(1 717)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1.2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Непокрытые убытки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414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Внешние источники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(2 271)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2.1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Обыкновенные акции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2.2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Эмиссионный доход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2.3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Привилегированные акции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2.4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Субординированные обязательства (кроме 173-ФЗ и 175-ФЗ)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(2 015)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2.5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Субординированные обязательства (173-ФЗ и 175-ФЗ)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(257)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2.6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Прочие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(664)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2.7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Вложения в акции финансовых организаций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lastRenderedPageBreak/>
                    <w:t>2.8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Предоставленные субординированные кредиты (депозиты)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2.9</w:t>
                  </w: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Прочее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(664)</w:t>
                  </w:r>
                </w:p>
              </w:tc>
            </w:tr>
            <w:tr w:rsidR="002A6BE5">
              <w:tc>
                <w:tcPr>
                  <w:tcW w:w="595" w:type="dxa"/>
                  <w:vAlign w:val="center"/>
                </w:tcPr>
                <w:p w:rsidR="002A6BE5" w:rsidRDefault="002A6BE5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254" w:type="dxa"/>
                  <w:vAlign w:val="center"/>
                </w:tcPr>
                <w:p w:rsidR="002A6BE5" w:rsidRDefault="00555006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Итого прирост капитала банка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A6BE5" w:rsidRDefault="00555006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(4 239)</w:t>
                  </w:r>
                </w:p>
              </w:tc>
            </w:tr>
          </w:tbl>
          <w:p w:rsidR="002A6BE5" w:rsidRDefault="002A6BE5">
            <w:pPr>
              <w:rPr>
                <w:color w:val="00B050"/>
              </w:rPr>
            </w:pPr>
          </w:p>
          <w:p w:rsidR="002A6BE5" w:rsidRDefault="002A6BE5">
            <w:pPr>
              <w:tabs>
                <w:tab w:val="right" w:leader="dot" w:pos="9345"/>
              </w:tabs>
              <w:rPr>
                <w:color w:val="00B050"/>
              </w:rPr>
            </w:pPr>
          </w:p>
          <w:p w:rsidR="002A6BE5" w:rsidRDefault="002A6BE5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</w:tc>
      </w:tr>
    </w:tbl>
    <w:p w:rsidR="002A6BE5" w:rsidRDefault="002A6BE5">
      <w:pPr>
        <w:spacing w:line="360" w:lineRule="exact"/>
        <w:ind w:firstLine="708"/>
        <w:jc w:val="right"/>
        <w:rPr>
          <w:sz w:val="28"/>
          <w:szCs w:val="20"/>
        </w:rPr>
      </w:pPr>
    </w:p>
    <w:p w:rsidR="002A6BE5" w:rsidRDefault="002A6BE5">
      <w:pPr>
        <w:spacing w:line="360" w:lineRule="exact"/>
        <w:ind w:firstLine="708"/>
        <w:jc w:val="right"/>
        <w:rPr>
          <w:sz w:val="28"/>
          <w:szCs w:val="20"/>
        </w:rPr>
      </w:pPr>
    </w:p>
    <w:p w:rsidR="002A6BE5" w:rsidRDefault="002A6BE5">
      <w:pPr>
        <w:spacing w:line="360" w:lineRule="exact"/>
        <w:ind w:firstLine="708"/>
        <w:jc w:val="right"/>
        <w:rPr>
          <w:sz w:val="28"/>
          <w:szCs w:val="20"/>
        </w:rPr>
      </w:pPr>
    </w:p>
    <w:p w:rsidR="002A6BE5" w:rsidRDefault="002A6BE5">
      <w:pPr>
        <w:spacing w:line="360" w:lineRule="exact"/>
        <w:ind w:firstLine="708"/>
        <w:jc w:val="right"/>
        <w:rPr>
          <w:sz w:val="28"/>
          <w:szCs w:val="20"/>
        </w:rPr>
      </w:pPr>
    </w:p>
    <w:p w:rsidR="002A6BE5" w:rsidRDefault="002A6BE5">
      <w:pPr>
        <w:spacing w:line="360" w:lineRule="exact"/>
        <w:ind w:firstLine="708"/>
        <w:jc w:val="right"/>
        <w:rPr>
          <w:sz w:val="28"/>
          <w:szCs w:val="20"/>
        </w:rPr>
      </w:pPr>
    </w:p>
    <w:p w:rsidR="002A6BE5" w:rsidRDefault="002A6BE5">
      <w:pPr>
        <w:spacing w:line="360" w:lineRule="exact"/>
        <w:ind w:firstLine="708"/>
        <w:jc w:val="right"/>
        <w:rPr>
          <w:sz w:val="28"/>
          <w:szCs w:val="20"/>
        </w:rPr>
        <w:sectPr w:rsidR="002A6BE5">
          <w:headerReference w:type="default" r:id="rId27"/>
          <w:footerReference w:type="default" r:id="rId28"/>
          <w:pgSz w:w="16838" w:h="11906" w:orient="landscape"/>
          <w:pgMar w:top="850" w:right="1134" w:bottom="1701" w:left="1134" w:header="708" w:footer="708" w:gutter="0"/>
          <w:cols w:space="720"/>
          <w:formProt w:val="0"/>
          <w:docGrid w:linePitch="360"/>
        </w:sectPr>
      </w:pPr>
    </w:p>
    <w:p w:rsidR="002A6BE5" w:rsidRDefault="002A6BE5">
      <w:pPr>
        <w:spacing w:line="360" w:lineRule="exact"/>
        <w:ind w:firstLine="708"/>
        <w:jc w:val="both"/>
        <w:rPr>
          <w:sz w:val="28"/>
          <w:szCs w:val="20"/>
        </w:rPr>
      </w:pPr>
      <w:bookmarkStart w:id="21" w:name="_Hlk107308697"/>
      <w:bookmarkEnd w:id="21"/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Примерный перечень вопросов для зачета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Достоинства и недостатки финансовой отчетности по РСБУ, по МСФО и управленческой отчетности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Понятие и типы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«финансовая устойчивость», «финансовое состояние», «экономическое положение», надежность и стабильность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Классификация и содержание факторов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Внешние факторы финансовой устойчивости банка: политические, правовые, инфраструктурные.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Внутренние факторы финансовой устойчивости банка: понятие и разновидности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Признаки финансовой устойчивости банка и индикаторы ее падения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подразделений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Система оценки финансовой устойчивости банка: понятие и составные элементы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Механизм оценки финансовой устойчивости банка: понятие, критерии и показатели, процедура, организация и методы оценки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Процедура оценки финансовой устойчивости банка: этапы, инструменты, выбор показателей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Организация оценки финансовой устойчивости банка: субъекты оценки, информационная база, взаимоотношения участников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Методы оценки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Понятие моделей оценки финансовой устойчивости банка и критерии их классификации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Система CAMELS: общая характеристика содержания и определение типа этой модели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Общая характеристика системы </w:t>
      </w:r>
      <w:proofErr w:type="spellStart"/>
      <w:r>
        <w:rPr>
          <w:sz w:val="28"/>
          <w:szCs w:val="28"/>
        </w:rPr>
        <w:t>Rate</w:t>
      </w:r>
      <w:proofErr w:type="spellEnd"/>
      <w:r>
        <w:rPr>
          <w:sz w:val="28"/>
          <w:szCs w:val="28"/>
        </w:rPr>
        <w:t xml:space="preserve"> и определение типа этой модели оценки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lastRenderedPageBreak/>
        <w:t>Общая характеристика методики Банка России по оценке экономического положения банков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Оценка капитала банка в рамках системы CAMELS и модели Банка России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Оценка уровня процентного риска и риска концентрации по модели Банка России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Оценка прозрачности собственности банка по модели Банка России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Использование финансовой отчетности по РСБУ и МСФО, а также управленческой отчетности для кредитного анализа банков: достоинства и недостатки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Характеристика основных форм отчетности по РСБУ и их роль в анализе финансового состояния коммерческого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Компоненты кредитного анализа банков по методике любого из рейтинговых агентств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Понятие собственного капитала банка и его состав для целей составления бухгалтерского баланса и для целей регулирования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Структура собственного (регуляторного) капитала, критерии распределения элементов между уровнями капитала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Порядок расчета величины собственного (регуляторного) капитала, согласно Положению Банка России № </w:t>
      </w:r>
      <w:r>
        <w:rPr>
          <w:sz w:val="28"/>
          <w:szCs w:val="28"/>
          <w:lang w:val="en-US"/>
        </w:rPr>
        <w:t>646</w:t>
      </w:r>
      <w:r>
        <w:rPr>
          <w:sz w:val="28"/>
          <w:szCs w:val="28"/>
        </w:rPr>
        <w:t>-П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Источники формирования собственного капитала банка и основные критерии их выбора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Экономическое содержание и уровни четырех нормативов достаточности капитала банка 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Надбавки к достаточности капитала: виды, порядок введения, границы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собственного капитала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Состав привлеченных и заемных средств банка и их структура в условиях российской практики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ресурсной базы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Подходы к оценке степени диверсификации ресурсной базы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Показатели оценки стабильности ресурсной базы банка и величины неснижаемого остатка на счетах клиентов 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lastRenderedPageBreak/>
        <w:t>Основные направления анализа качества активов банка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Источники кредитного риска банка и способы оценки его уровня</w:t>
      </w:r>
    </w:p>
    <w:p w:rsidR="002A6BE5" w:rsidRDefault="00555006">
      <w:pPr>
        <w:pStyle w:val="afc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Концентрация кредитного портфеля: понятие, влияние на финансовое состояние банка, типы и способы оценки</w:t>
      </w: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Примерный перечень вопросов для экзамена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и типы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Влияние зарубежных санкций на финансовую устойчивость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«финансовая устойчивость», «финансовое состояние», «экономическое положение», надежность и стабильность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Финансовая и организационная устойчивость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Классификация и содержание факторов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Внешние факторы финансовой устойчивости банка: политические, правовые, инфраструктурные.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Внутренние факторы финансовой устойчивости банка: понятие и разновидности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Признаки финансовой устойчивости банка и индикаторы ее падения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Идентификация риска потери доходности: понятие и методы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подразделений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продуктов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финансовой устойчивости банка: понятие и составные элементы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Механизм оценки финансовой устойчивости банка: понятие, критерии и показатели, процедура, организация и методы оценки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Денежные и неденежные показатели оценки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Процедура оценки финансовой устойчивости банка: этапы, инструменты, выбор показателей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Организация оценки финансовой устойчивости банка: субъекты оценки, информационная база, взаимоотношения участников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>Методы оценки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моделей оценки финансовой устойчивости банка и критерии их классификации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CAMELS: общая характеристика содержания и определение типа этой модели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Общая характеристика системы </w:t>
      </w:r>
      <w:proofErr w:type="spellStart"/>
      <w:r>
        <w:rPr>
          <w:sz w:val="28"/>
          <w:szCs w:val="28"/>
        </w:rPr>
        <w:t>Rate</w:t>
      </w:r>
      <w:proofErr w:type="spellEnd"/>
      <w:r>
        <w:rPr>
          <w:sz w:val="28"/>
          <w:szCs w:val="28"/>
        </w:rPr>
        <w:t xml:space="preserve"> и определение типа этой модели оценки финансовой устойчивости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Общая характеристика методики Банка России по оценке экономического положения банков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капитала банка в рамках системы CAMELS и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активов по системе CAMELS и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уровня доходности (прибыльности) банка в рамках системы CAMELS и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ликвидности банка по системе CAMELS и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Сравнительная характеристика оценки качества менеджмента по системе CAMELS и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чувствительности банка к рискам по системе CAMELS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уровня процентного риска и риска концентрации по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прозрачности собственности банка по модели Банка России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Использование финансовой отчетности по РСБУ и МСФО, а также управленческой отчетности для кредитного анализа банков: достоинства и недостатки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Характеристика основных форм отчетности по РСБУ и их роль в анализе финансового состояния коммерческого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Компоненты кредитного анализа банков по методике любого из рейтинговых агентств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собственного капитала банка и его состав для целей составления бухгалтерского баланса и для целей регулирования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>Понятие субординированного долга и критерии его включения в состав собственного (регуляторного) капитала, согласно Положению Банка России № 646-П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собственного (регуляторного) капитала, критерии распределения элементов между уровнями капитала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Порядок расчета величины собственного (регуляторного) капитала, согласно Положению Банка России № 646-П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формирования собственного капитала банка и основные критерии их выбора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Экономическое содержание и уровни четырех нормативов достаточности капитала банка 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совокупного риска банка, учитываемого при расчете норматива Н1.0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Надбавки к достаточности капитала: виды, порядок введения, границы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собственного капитала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привлеченных и заемных средств банка и их структура в условиях российской практики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ресурсной базы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Подходы к оценке степени диверсификации ресурсной базы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Показатели оценки стабильности ресурсной базы банка и величины неснижаемого остатка на счетах клиентов 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и структура активов российских банков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анализа качества активов банка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кредитного риска банка и способы оценки его уровня</w:t>
      </w:r>
    </w:p>
    <w:p w:rsidR="002A6BE5" w:rsidRDefault="00555006">
      <w:pPr>
        <w:pStyle w:val="afc"/>
        <w:widowControl/>
        <w:numPr>
          <w:ilvl w:val="0"/>
          <w:numId w:val="5"/>
        </w:numPr>
        <w:spacing w:line="360" w:lineRule="auto"/>
        <w:ind w:left="567" w:hanging="567"/>
        <w:rPr>
          <w:sz w:val="28"/>
          <w:szCs w:val="28"/>
        </w:rPr>
        <w:sectPr w:rsidR="002A6BE5">
          <w:headerReference w:type="default" r:id="rId29"/>
          <w:footerReference w:type="default" r:id="rId30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rPr>
          <w:sz w:val="28"/>
          <w:szCs w:val="28"/>
        </w:rPr>
        <w:t>Концентрация кредитного портфеля: понятие, влияние на финансовое состояние банка, типы и способы оценки</w:t>
      </w:r>
    </w:p>
    <w:p w:rsidR="002A6BE5" w:rsidRDefault="00555006">
      <w:pPr>
        <w:spacing w:line="360" w:lineRule="auto"/>
        <w:ind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Пример экзаменационного билета </w:t>
      </w:r>
    </w:p>
    <w:p w:rsidR="002A6BE5" w:rsidRDefault="00555006">
      <w:pPr>
        <w:jc w:val="center"/>
        <w:rPr>
          <w:b/>
        </w:rPr>
      </w:pPr>
      <w:r>
        <w:rPr>
          <w:b/>
        </w:rPr>
        <w:t xml:space="preserve">  Федеральное государственное образовательное бюджетное учреждение</w:t>
      </w:r>
    </w:p>
    <w:p w:rsidR="002A6BE5" w:rsidRDefault="00555006">
      <w:pPr>
        <w:jc w:val="center"/>
        <w:rPr>
          <w:b/>
        </w:rPr>
      </w:pPr>
      <w:r>
        <w:rPr>
          <w:b/>
        </w:rPr>
        <w:t>высшего образования</w:t>
      </w:r>
    </w:p>
    <w:p w:rsidR="002A6BE5" w:rsidRDefault="00555006">
      <w:pPr>
        <w:jc w:val="center"/>
        <w:rPr>
          <w:b/>
        </w:rPr>
      </w:pPr>
      <w:r>
        <w:rPr>
          <w:b/>
        </w:rPr>
        <w:t>«Финансовый университет при Правительстве Российской Федерации»</w:t>
      </w:r>
    </w:p>
    <w:p w:rsidR="002A6BE5" w:rsidRDefault="00555006">
      <w:pPr>
        <w:jc w:val="center"/>
        <w:rPr>
          <w:b/>
        </w:rPr>
      </w:pPr>
      <w:r>
        <w:rPr>
          <w:b/>
        </w:rPr>
        <w:t>(Финансовый университет)</w:t>
      </w:r>
    </w:p>
    <w:p w:rsidR="002A6BE5" w:rsidRDefault="002A6BE5">
      <w:pPr>
        <w:jc w:val="both"/>
        <w:rPr>
          <w:color w:val="00B050"/>
          <w:sz w:val="28"/>
          <w:szCs w:val="28"/>
        </w:rPr>
      </w:pP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Департамент банковского дела и монетарного регулирования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Дисциплина: «Оценка финансовой устойчивости коммерческого банка»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Факультет финансовый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 xml:space="preserve">Форма обучения: 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Модуль: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Направление подготовки 38.04.08 – Финансы и кредит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Направленность программы магистратуры: "Банковское дело и риск-менеджмент"</w:t>
      </w:r>
    </w:p>
    <w:p w:rsidR="002A6BE5" w:rsidRDefault="00555006">
      <w:pPr>
        <w:jc w:val="both"/>
        <w:rPr>
          <w:color w:val="00B050"/>
          <w:sz w:val="28"/>
          <w:szCs w:val="28"/>
        </w:rPr>
      </w:pPr>
      <w:r>
        <w:t>Учебная группа: ___</w:t>
      </w:r>
    </w:p>
    <w:p w:rsidR="002A6BE5" w:rsidRDefault="002A6BE5">
      <w:pPr>
        <w:jc w:val="center"/>
        <w:rPr>
          <w:b/>
        </w:rPr>
      </w:pPr>
    </w:p>
    <w:p w:rsidR="002A6BE5" w:rsidRDefault="00555006">
      <w:pPr>
        <w:jc w:val="center"/>
        <w:rPr>
          <w:b/>
        </w:rPr>
      </w:pPr>
      <w:r>
        <w:rPr>
          <w:b/>
        </w:rPr>
        <w:t>ЭКЗАМЕНАЦИОННЫЙ БИЛЕТ № 1</w:t>
      </w:r>
    </w:p>
    <w:p w:rsidR="002A6BE5" w:rsidRDefault="002A6BE5">
      <w:pPr>
        <w:jc w:val="center"/>
        <w:rPr>
          <w:b/>
        </w:rPr>
      </w:pPr>
    </w:p>
    <w:p w:rsidR="002A6BE5" w:rsidRDefault="00555006">
      <w:pPr>
        <w:pStyle w:val="aff2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ЗАДАНИЕ 1. Дайте развернутый ответ на дискуссионный теоретический вопрос (максимум 15 баллов).</w:t>
      </w:r>
    </w:p>
    <w:p w:rsidR="002A6BE5" w:rsidRDefault="00555006">
      <w:pPr>
        <w:pStyle w:val="aff2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Понятие и типы финансовой устойчивости банка.</w:t>
      </w:r>
    </w:p>
    <w:p w:rsidR="002A6BE5" w:rsidRDefault="002A6BE5">
      <w:pPr>
        <w:pStyle w:val="aff2"/>
        <w:jc w:val="both"/>
        <w:rPr>
          <w:b/>
        </w:rPr>
      </w:pPr>
    </w:p>
    <w:p w:rsidR="002A6BE5" w:rsidRDefault="00555006">
      <w:pPr>
        <w:pStyle w:val="aff2"/>
        <w:jc w:val="both"/>
        <w:rPr>
          <w:b/>
        </w:rPr>
      </w:pPr>
      <w:r>
        <w:rPr>
          <w:b/>
        </w:rPr>
        <w:t xml:space="preserve">ЗАДАНИЕ 2. </w:t>
      </w:r>
      <w:r>
        <w:rPr>
          <w:rStyle w:val="FontStyle13"/>
          <w:rFonts w:eastAsiaTheme="majorEastAsia"/>
          <w:b/>
          <w:color w:val="auto"/>
        </w:rPr>
        <w:t>Дайте развернутый ответ на дискуссионный теоретический вопрос (максимум 15 баллов).</w:t>
      </w:r>
    </w:p>
    <w:p w:rsidR="002A6BE5" w:rsidRDefault="00555006">
      <w:pPr>
        <w:pStyle w:val="aff2"/>
        <w:jc w:val="both"/>
        <w:rPr>
          <w:color w:val="00B050"/>
          <w:sz w:val="28"/>
          <w:szCs w:val="28"/>
        </w:rPr>
      </w:pPr>
      <w:r>
        <w:rPr>
          <w:b/>
        </w:rPr>
        <w:t>Методы анализ уровня концентрации источников операционного дохода банка.</w:t>
      </w:r>
    </w:p>
    <w:p w:rsidR="002A6BE5" w:rsidRDefault="002A6BE5">
      <w:pPr>
        <w:pStyle w:val="aff2"/>
        <w:jc w:val="both"/>
        <w:rPr>
          <w:color w:val="00B050"/>
          <w:sz w:val="28"/>
          <w:szCs w:val="28"/>
        </w:rPr>
      </w:pPr>
    </w:p>
    <w:p w:rsidR="002A6BE5" w:rsidRDefault="00555006">
      <w:pPr>
        <w:pStyle w:val="aff2"/>
        <w:jc w:val="both"/>
        <w:rPr>
          <w:color w:val="00B050"/>
          <w:sz w:val="28"/>
          <w:szCs w:val="28"/>
        </w:rPr>
      </w:pPr>
      <w:r>
        <w:rPr>
          <w:rStyle w:val="FontStyle15"/>
          <w:rFonts w:eastAsiaTheme="majorEastAsia"/>
          <w:color w:val="auto"/>
          <w:sz w:val="24"/>
          <w:szCs w:val="24"/>
        </w:rPr>
        <w:t>ЗАДАНИЕ 3. Выполните практико-ориентированное задание (максимум 30 баллов).</w:t>
      </w:r>
    </w:p>
    <w:p w:rsidR="002A6BE5" w:rsidRDefault="002A6BE5">
      <w:pPr>
        <w:pStyle w:val="aff2"/>
        <w:jc w:val="both"/>
        <w:rPr>
          <w:lang w:val="x-none"/>
        </w:rPr>
      </w:pPr>
    </w:p>
    <w:p w:rsidR="002A6BE5" w:rsidRDefault="00555006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На основе данных о составе и структуре собственного (регуляторного) капитала банка (является </w:t>
      </w:r>
      <w:r>
        <w:rPr>
          <w:u w:val="single"/>
        </w:rPr>
        <w:t>системно значимым</w:t>
      </w:r>
      <w:r>
        <w:t xml:space="preserve">), структуре совокупного риска, дополнительных показателях баланса банка, его доходов и расходов (Таблицы 1-3) требуется: </w:t>
      </w:r>
    </w:p>
    <w:p w:rsidR="002A6BE5" w:rsidRDefault="00555006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1. рассчитать величину нормативов достаточности собственного капитала банка (Н1.1, Н1.2 и Н1.0), оценить их значения и изменение во времени, а также определить соблюдение обязательств по поддержанию требуемых надбавок к нормативам достаточности капитала;</w:t>
      </w:r>
    </w:p>
    <w:p w:rsidR="002A6BE5" w:rsidRDefault="00555006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2. рассчитать и оценить показатель иммобилизации капитала банка, а также темпы прироста активов, кредитного портфеля банка и регуляторного капитала банка;</w:t>
      </w:r>
    </w:p>
    <w:p w:rsidR="002A6BE5" w:rsidRDefault="00555006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3. проанализировать и оценить источники прироста собственного (регуляторного) капитала банка; </w:t>
      </w:r>
    </w:p>
    <w:p w:rsidR="002A6BE5" w:rsidRDefault="00555006">
      <w:pPr>
        <w:spacing w:after="120"/>
        <w:ind w:firstLine="709"/>
        <w:rPr>
          <w:iCs/>
        </w:rPr>
        <w:sectPr w:rsidR="002A6BE5">
          <w:headerReference w:type="default" r:id="rId31"/>
          <w:footerReference w:type="default" r:id="rId32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t>4. написать выводы о качестве собственного капитала банка по результатам проведенного анализа.</w:t>
      </w:r>
    </w:p>
    <w:p w:rsidR="002A6BE5" w:rsidRDefault="00555006">
      <w:pPr>
        <w:ind w:firstLine="709"/>
        <w:rPr>
          <w:iCs/>
        </w:rPr>
      </w:pPr>
      <w:r>
        <w:rPr>
          <w:iCs/>
        </w:rPr>
        <w:lastRenderedPageBreak/>
        <w:t>Таблица 1 – Структура собственного капитала банка на 31.12 года, млрд руб.</w:t>
      </w:r>
    </w:p>
    <w:tbl>
      <w:tblPr>
        <w:tblW w:w="13844" w:type="dxa"/>
        <w:tblLayout w:type="fixed"/>
        <w:tblLook w:val="04A0" w:firstRow="1" w:lastRow="0" w:firstColumn="1" w:lastColumn="0" w:noHBand="0" w:noVBand="1"/>
      </w:tblPr>
      <w:tblGrid>
        <w:gridCol w:w="366"/>
        <w:gridCol w:w="285"/>
        <w:gridCol w:w="281"/>
        <w:gridCol w:w="497"/>
        <w:gridCol w:w="6304"/>
        <w:gridCol w:w="1195"/>
        <w:gridCol w:w="1196"/>
        <w:gridCol w:w="1196"/>
        <w:gridCol w:w="1195"/>
        <w:gridCol w:w="1329"/>
      </w:tblGrid>
      <w:tr w:rsidR="002A6BE5">
        <w:trPr>
          <w:trHeight w:val="345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Элемент собственного капитала</w:t>
            </w:r>
          </w:p>
        </w:tc>
        <w:tc>
          <w:tcPr>
            <w:tcW w:w="1195" w:type="dxa"/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95" w:type="dxa"/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29" w:type="dxa"/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2A6BE5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7366" w:type="dxa"/>
            <w:gridSpan w:val="4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Основной капитал (I уровня) = Базовый + Добавочный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85,4</w:t>
            </w:r>
          </w:p>
        </w:tc>
        <w:tc>
          <w:tcPr>
            <w:tcW w:w="1329" w:type="dxa"/>
            <w:tcBorders>
              <w:top w:val="single" w:sz="8" w:space="0" w:color="808080"/>
            </w:tcBorders>
            <w:shd w:val="clear" w:color="000000" w:fill="FDE9D9"/>
          </w:tcPr>
          <w:p w:rsidR="002A6BE5" w:rsidRDefault="005550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94,0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555006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Базовый капитал</w:t>
            </w:r>
          </w:p>
        </w:tc>
        <w:tc>
          <w:tcPr>
            <w:tcW w:w="1195" w:type="dxa"/>
            <w:shd w:val="clear" w:color="000000" w:fill="FFFFFF"/>
          </w:tcPr>
          <w:p w:rsidR="002A6BE5" w:rsidRDefault="0055500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5" w:type="dxa"/>
            <w:shd w:val="clear" w:color="000000" w:fill="FFFFFF"/>
          </w:tcPr>
          <w:p w:rsidR="002A6BE5" w:rsidRDefault="0055500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61,6</w:t>
            </w:r>
          </w:p>
        </w:tc>
        <w:tc>
          <w:tcPr>
            <w:tcW w:w="1329" w:type="dxa"/>
            <w:shd w:val="clear" w:color="000000" w:fill="FFFFFF"/>
          </w:tcPr>
          <w:p w:rsidR="002A6BE5" w:rsidRDefault="0055500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66,0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Уставный капитал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8,7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обыкновенные акции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8,7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привилегированные акции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доли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Эмиссионный доход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5,9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Резервный фонд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Нераспределенная прибыль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8,9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11,5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15,2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прошлых лет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5,8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9,7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11,2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17,6</w:t>
            </w:r>
          </w:p>
        </w:tc>
      </w:tr>
      <w:tr w:rsidR="002A6BE5">
        <w:trPr>
          <w:trHeight w:val="215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отчетного года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3,1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1,8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4,0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1,9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i/>
                <w:iCs/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НМА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(0,1)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Отрицательная величина добавочного капитала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Сумма налога на прибыль, подлежащая возмещению в будущих периодах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Собственные акции, выкупленные у акционеров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Убытки предшествующих лет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Убыток текущего года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Инвестиции в капитал финансовых организаций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несущественные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существенные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555006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Добавочный капитал</w:t>
            </w:r>
          </w:p>
        </w:tc>
        <w:tc>
          <w:tcPr>
            <w:tcW w:w="1195" w:type="dxa"/>
            <w:shd w:val="clear" w:color="000000" w:fill="FFFFFF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FFFFFF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23,8</w:t>
            </w:r>
          </w:p>
        </w:tc>
        <w:tc>
          <w:tcPr>
            <w:tcW w:w="1329" w:type="dxa"/>
            <w:shd w:val="clear" w:color="000000" w:fill="FFFFFF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Привилегированные акции особого типа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Эмиссионный доход от выпуска вышеуказанных привилегированных акций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Субординированный заем с дополнительными условиями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Субординированный кредит без ограничения срока привлечения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24,2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Вложения в собственные привилегированные акции особого типа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привилегированные акции финансовых организаций (относящиеся к этому разделу)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 банка по приобретению включенных в этот раздел источников собственного капитала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Отрицательная величина дополнительного капитала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Иное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(0,4)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DE9D9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7366" w:type="dxa"/>
            <w:gridSpan w:val="4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Дополнительный капитал (II уровня)</w:t>
            </w:r>
          </w:p>
        </w:tc>
        <w:tc>
          <w:tcPr>
            <w:tcW w:w="1195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</w:t>
            </w:r>
          </w:p>
        </w:tc>
        <w:tc>
          <w:tcPr>
            <w:tcW w:w="1196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45,7</w:t>
            </w:r>
          </w:p>
        </w:tc>
        <w:tc>
          <w:tcPr>
            <w:tcW w:w="1196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35,9</w:t>
            </w:r>
          </w:p>
        </w:tc>
        <w:tc>
          <w:tcPr>
            <w:tcW w:w="1195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65,9</w:t>
            </w:r>
          </w:p>
        </w:tc>
        <w:tc>
          <w:tcPr>
            <w:tcW w:w="1329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69,3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Привилегированые</w:t>
            </w:r>
            <w:proofErr w:type="spellEnd"/>
            <w:r>
              <w:rPr>
                <w:sz w:val="20"/>
                <w:szCs w:val="20"/>
              </w:rPr>
              <w:t xml:space="preserve"> акции (до 1 марта 2013), кроме указанных выше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Привилегированые</w:t>
            </w:r>
            <w:proofErr w:type="spellEnd"/>
            <w:r>
              <w:rPr>
                <w:sz w:val="20"/>
                <w:szCs w:val="20"/>
              </w:rPr>
              <w:t xml:space="preserve"> акции (после 1 марта 2013), кроме указанных выше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Часть УК, сформированного за счет капитализации стоимости имущества при переоценке до его выбытия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Эмисионный</w:t>
            </w:r>
            <w:proofErr w:type="spellEnd"/>
            <w:r>
              <w:rPr>
                <w:sz w:val="20"/>
                <w:szCs w:val="20"/>
              </w:rPr>
              <w:t xml:space="preserve"> доход от выпуска привилегированных акций данного раздела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Резервный фонд за счет прибыли </w:t>
            </w:r>
            <w:proofErr w:type="gramStart"/>
            <w:r>
              <w:rPr>
                <w:sz w:val="20"/>
                <w:szCs w:val="20"/>
              </w:rPr>
              <w:t>текущего  или</w:t>
            </w:r>
            <w:proofErr w:type="gramEnd"/>
            <w:r>
              <w:rPr>
                <w:sz w:val="20"/>
                <w:szCs w:val="20"/>
              </w:rPr>
              <w:t xml:space="preserve"> прошлого года до подтверждения аудитором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(остаточная стоимость в последние 5 лет)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21,6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43,1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34,3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60,4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64,0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2A6BE5" w:rsidRDefault="002A6BE5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(депозит, заем, облигационный заем) на срок не менее 50 лет, от резидента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2A6BE5" w:rsidRDefault="002A6BE5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привлеченные до 1 марта 2013 года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2A6BE5" w:rsidRDefault="002A6BE5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субординированные кредиты, предоставленные в соответствии </w:t>
            </w:r>
            <w:proofErr w:type="gramStart"/>
            <w:r>
              <w:rPr>
                <w:sz w:val="20"/>
                <w:szCs w:val="20"/>
              </w:rPr>
              <w:t>с  Законом</w:t>
            </w:r>
            <w:proofErr w:type="gramEnd"/>
            <w:r>
              <w:rPr>
                <w:sz w:val="20"/>
                <w:szCs w:val="20"/>
              </w:rPr>
              <w:t xml:space="preserve"> N 173-ФЗ и Законом N 175-ФЗ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текущего года, не подтвержденная аудитором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предшествующих лет, не подтвержденная аудитором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Прирост стоимости имущества за счет переоценки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2A6BE5" w:rsidRDefault="00555006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Вычитаются: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FFFFF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2A6BE5" w:rsidRDefault="002A6BE5">
            <w:pPr>
              <w:rPr>
                <w:sz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2A6BE5" w:rsidRDefault="00555006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(0,0)</w:t>
            </w:r>
          </w:p>
        </w:tc>
        <w:tc>
          <w:tcPr>
            <w:tcW w:w="1329" w:type="dxa"/>
            <w:shd w:val="clear" w:color="000000" w:fill="EEECE1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(0,3)</w:t>
            </w:r>
          </w:p>
        </w:tc>
      </w:tr>
      <w:tr w:rsidR="002A6BE5">
        <w:trPr>
          <w:trHeight w:val="330"/>
        </w:trPr>
        <w:tc>
          <w:tcPr>
            <w:tcW w:w="365" w:type="dxa"/>
            <w:shd w:val="clear" w:color="000000" w:fill="FDE9D9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7366" w:type="dxa"/>
            <w:gridSpan w:val="4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Показатели, определенные в соответствии с пунктом 4 Положения N 646-П</w:t>
            </w:r>
          </w:p>
        </w:tc>
        <w:tc>
          <w:tcPr>
            <w:tcW w:w="1195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9" w:type="dxa"/>
            <w:shd w:val="clear" w:color="000000" w:fill="FDE9D9"/>
          </w:tcPr>
          <w:p w:rsidR="002A6BE5" w:rsidRDefault="005550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2A6B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2A6B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tcBorders>
              <w:top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Собственный капитал (Базель III), итого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48,6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92,7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84,7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151,3</w:t>
            </w:r>
          </w:p>
        </w:tc>
        <w:tc>
          <w:tcPr>
            <w:tcW w:w="1329" w:type="dxa"/>
            <w:tcBorders>
              <w:top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163,3</w:t>
            </w:r>
          </w:p>
        </w:tc>
      </w:tr>
    </w:tbl>
    <w:p w:rsidR="002A6BE5" w:rsidRDefault="002A6BE5">
      <w:pPr>
        <w:pStyle w:val="aff2"/>
        <w:jc w:val="both"/>
        <w:rPr>
          <w:iCs/>
        </w:rPr>
      </w:pPr>
    </w:p>
    <w:p w:rsidR="002A6BE5" w:rsidRDefault="002A6BE5">
      <w:pPr>
        <w:pStyle w:val="aff2"/>
        <w:jc w:val="both"/>
        <w:rPr>
          <w:iCs/>
        </w:rPr>
        <w:sectPr w:rsidR="002A6BE5">
          <w:headerReference w:type="default" r:id="rId33"/>
          <w:footerReference w:type="default" r:id="rId34"/>
          <w:pgSz w:w="16838" w:h="11906" w:orient="landscape"/>
          <w:pgMar w:top="993" w:right="851" w:bottom="850" w:left="993" w:header="708" w:footer="708" w:gutter="0"/>
          <w:cols w:space="720"/>
          <w:formProt w:val="0"/>
          <w:docGrid w:linePitch="360"/>
        </w:sectPr>
      </w:pPr>
    </w:p>
    <w:p w:rsidR="002A6BE5" w:rsidRDefault="002A6BE5">
      <w:pPr>
        <w:rPr>
          <w:iCs/>
        </w:rPr>
      </w:pPr>
    </w:p>
    <w:p w:rsidR="002A6BE5" w:rsidRDefault="00555006">
      <w:pPr>
        <w:ind w:firstLine="709"/>
        <w:rPr>
          <w:iCs/>
        </w:rPr>
      </w:pPr>
      <w:r>
        <w:rPr>
          <w:iCs/>
        </w:rPr>
        <w:t>Таблица 2 – Дополнительные показатели баланса банка, его доходов и расходов, млрд руб. на 31.12 года</w:t>
      </w:r>
    </w:p>
    <w:tbl>
      <w:tblPr>
        <w:tblW w:w="9948" w:type="dxa"/>
        <w:tblLayout w:type="fixed"/>
        <w:tblLook w:val="04A0" w:firstRow="1" w:lastRow="0" w:firstColumn="1" w:lastColumn="0" w:noHBand="0" w:noVBand="1"/>
      </w:tblPr>
      <w:tblGrid>
        <w:gridCol w:w="3827"/>
        <w:gridCol w:w="1197"/>
        <w:gridCol w:w="1198"/>
        <w:gridCol w:w="1198"/>
        <w:gridCol w:w="1192"/>
        <w:gridCol w:w="1336"/>
      </w:tblGrid>
      <w:tr w:rsidR="002A6BE5">
        <w:trPr>
          <w:trHeight w:val="345"/>
        </w:trPr>
        <w:tc>
          <w:tcPr>
            <w:tcW w:w="3826" w:type="dxa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млрд руб.</w:t>
            </w:r>
          </w:p>
        </w:tc>
        <w:tc>
          <w:tcPr>
            <w:tcW w:w="1197" w:type="dxa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2016</w:t>
            </w:r>
          </w:p>
        </w:tc>
        <w:tc>
          <w:tcPr>
            <w:tcW w:w="1198" w:type="dxa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1198" w:type="dxa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1192" w:type="dxa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1336" w:type="dxa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2020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iCs/>
              </w:rPr>
            </w:pPr>
            <w:r>
              <w:t>Собственный капитал (бухгалтерский)</w:t>
            </w:r>
          </w:p>
        </w:tc>
        <w:tc>
          <w:tcPr>
            <w:tcW w:w="1197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iCs/>
              </w:rPr>
            </w:pPr>
            <w:r>
              <w:t>26,6</w:t>
            </w:r>
          </w:p>
        </w:tc>
        <w:tc>
          <w:tcPr>
            <w:tcW w:w="1198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iCs/>
              </w:rPr>
            </w:pPr>
            <w:r>
              <w:t>47,7</w:t>
            </w:r>
          </w:p>
        </w:tc>
        <w:tc>
          <w:tcPr>
            <w:tcW w:w="1198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iCs/>
              </w:rPr>
            </w:pPr>
            <w:r>
              <w:t>50,1</w:t>
            </w:r>
          </w:p>
        </w:tc>
        <w:tc>
          <w:tcPr>
            <w:tcW w:w="1192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iCs/>
              </w:rPr>
            </w:pPr>
            <w:r>
              <w:t>64,9</w:t>
            </w:r>
          </w:p>
        </w:tc>
        <w:tc>
          <w:tcPr>
            <w:tcW w:w="133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iCs/>
              </w:rPr>
            </w:pPr>
            <w:r>
              <w:t>71,4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Активы балансовые, всего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343,1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711,6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829,6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1 097,9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1 281,7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Активы, взвешенные по риску (совокупный риск банка)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342,0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574,3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671,5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812,4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Кредиты клиентам (брутто)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243,7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508,6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664,4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958,7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1 107,7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Внеоборотные активы и запасы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(4,1)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(4,6)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(4,5)</w:t>
            </w:r>
          </w:p>
        </w:tc>
      </w:tr>
      <w:tr w:rsidR="002A6BE5">
        <w:trPr>
          <w:trHeight w:val="345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Просроченная задолженность за минусом РВПС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Дивиденды уплаченные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Прибыль до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1,0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Прибыль после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6,4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7,2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Нестабильные/ нерегулярные доходы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(0,1)</w:t>
            </w:r>
          </w:p>
        </w:tc>
        <w:tc>
          <w:tcPr>
            <w:tcW w:w="1192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(0,7)</w:t>
            </w:r>
          </w:p>
        </w:tc>
      </w:tr>
      <w:tr w:rsidR="002A6BE5">
        <w:trPr>
          <w:trHeight w:val="330"/>
        </w:trPr>
        <w:tc>
          <w:tcPr>
            <w:tcW w:w="3826" w:type="dxa"/>
            <w:tcBorders>
              <w:top w:val="dotted" w:sz="4" w:space="0" w:color="000000"/>
            </w:tcBorders>
            <w:shd w:val="clear" w:color="000000" w:fill="FFFFFF"/>
          </w:tcPr>
          <w:p w:rsidR="002A6BE5" w:rsidRDefault="00555006">
            <w:pPr>
              <w:rPr>
                <w:color w:val="000000"/>
              </w:rPr>
            </w:pPr>
            <w:r>
              <w:rPr>
                <w:color w:val="000000"/>
              </w:rPr>
              <w:t>Чистый выкуп акций</w:t>
            </w:r>
          </w:p>
        </w:tc>
        <w:tc>
          <w:tcPr>
            <w:tcW w:w="1197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2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</w:tbl>
    <w:p w:rsidR="002A6BE5" w:rsidRDefault="002A6BE5">
      <w:pPr>
        <w:ind w:firstLine="709"/>
        <w:rPr>
          <w:iCs/>
        </w:rPr>
      </w:pPr>
    </w:p>
    <w:p w:rsidR="002A6BE5" w:rsidRDefault="00555006">
      <w:pPr>
        <w:ind w:firstLine="709"/>
        <w:rPr>
          <w:iCs/>
        </w:rPr>
      </w:pPr>
      <w:r>
        <w:rPr>
          <w:iCs/>
        </w:rPr>
        <w:t>Таблица 3 – Источники прироста капитала банка, млрд руб. на 31.12 года</w:t>
      </w:r>
    </w:p>
    <w:tbl>
      <w:tblPr>
        <w:tblW w:w="9427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281"/>
        <w:gridCol w:w="4224"/>
        <w:gridCol w:w="1194"/>
        <w:gridCol w:w="1196"/>
        <w:gridCol w:w="1200"/>
        <w:gridCol w:w="1332"/>
      </w:tblGrid>
      <w:tr w:rsidR="002A6BE5">
        <w:trPr>
          <w:trHeight w:val="345"/>
        </w:trPr>
        <w:tc>
          <w:tcPr>
            <w:tcW w:w="4504" w:type="dxa"/>
            <w:gridSpan w:val="2"/>
            <w:tcBorders>
              <w:bottom w:val="single" w:sz="8" w:space="0" w:color="808080"/>
            </w:tcBorders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млрд руб.</w:t>
            </w:r>
          </w:p>
        </w:tc>
        <w:tc>
          <w:tcPr>
            <w:tcW w:w="1194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200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32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A6BE5" w:rsidRDefault="0055500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2A6BE5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Внутренние источники</w:t>
            </w:r>
          </w:p>
        </w:tc>
        <w:tc>
          <w:tcPr>
            <w:tcW w:w="1194" w:type="dxa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00" w:type="dxa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332" w:type="dxa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Нераспределенная прибыль+ резервный капитал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8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</w:tr>
      <w:tr w:rsidR="002A6BE5">
        <w:trPr>
          <w:trHeight w:val="138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auto" w:fill="auto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Непокрытые убытки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Внешние источники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-9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Обыкновенные акции/ доли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15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Эмиссионный доход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15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Привилегированные акции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(кроме 173-ФЗ и 175-ФЗ)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-9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(173-ФЗ и 175-ФЗ)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2A6BE5" w:rsidRDefault="00555006">
            <w:pPr>
              <w:rPr>
                <w:sz w:val="20"/>
              </w:rPr>
            </w:pPr>
            <w:r>
              <w:rPr>
                <w:sz w:val="20"/>
              </w:rPr>
              <w:t>Прочие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Вложения в акции ДЗО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Предоставленные субординированные кредиты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Прочее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A6BE5">
        <w:trPr>
          <w:trHeight w:val="330"/>
        </w:trPr>
        <w:tc>
          <w:tcPr>
            <w:tcW w:w="280" w:type="dxa"/>
            <w:shd w:val="clear" w:color="000000" w:fill="FFFFFF"/>
          </w:tcPr>
          <w:p w:rsidR="002A6BE5" w:rsidRDefault="002A6BE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Итого прирост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44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-8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67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A6BE5" w:rsidRDefault="00555006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12</w:t>
            </w:r>
          </w:p>
        </w:tc>
      </w:tr>
    </w:tbl>
    <w:p w:rsidR="002A6BE5" w:rsidRDefault="002A6BE5">
      <w:pPr>
        <w:ind w:firstLine="709"/>
        <w:rPr>
          <w:iCs/>
        </w:rPr>
      </w:pPr>
    </w:p>
    <w:p w:rsidR="002A6BE5" w:rsidRDefault="00555006">
      <w:pPr>
        <w:rPr>
          <w:iCs/>
        </w:rPr>
      </w:pPr>
      <w:proofErr w:type="gramStart"/>
      <w:r>
        <w:rPr>
          <w:iCs/>
        </w:rPr>
        <w:t xml:space="preserve">Подготовил:   </w:t>
      </w:r>
      <w:proofErr w:type="gramEnd"/>
      <w:r>
        <w:rPr>
          <w:iCs/>
        </w:rPr>
        <w:t xml:space="preserve">                                                                                            Д.А. Чичуленков</w:t>
      </w:r>
    </w:p>
    <w:p w:rsidR="002A6BE5" w:rsidRDefault="002A6BE5">
      <w:pPr>
        <w:jc w:val="both"/>
        <w:rPr>
          <w:iCs/>
        </w:rPr>
      </w:pPr>
    </w:p>
    <w:p w:rsidR="002A6BE5" w:rsidRDefault="00555006">
      <w:pPr>
        <w:spacing w:after="8" w:line="360" w:lineRule="auto"/>
        <w:ind w:left="20"/>
        <w:contextualSpacing/>
        <w:jc w:val="both"/>
        <w:rPr>
          <w:iCs/>
        </w:rPr>
      </w:pPr>
      <w:r>
        <w:rPr>
          <w:rStyle w:val="10"/>
          <w:rFonts w:eastAsia="Courier New"/>
        </w:rPr>
        <w:t>Утверждаю:</w:t>
      </w:r>
    </w:p>
    <w:p w:rsidR="002A6BE5" w:rsidRDefault="00555006">
      <w:pPr>
        <w:jc w:val="both"/>
        <w:rPr>
          <w:iCs/>
        </w:rPr>
      </w:pPr>
      <w:r>
        <w:rPr>
          <w:iCs/>
        </w:rPr>
        <w:t xml:space="preserve">Руководитель </w:t>
      </w:r>
      <w:r>
        <w:t>Департамента</w:t>
      </w:r>
    </w:p>
    <w:p w:rsidR="002A6BE5" w:rsidRDefault="00555006">
      <w:pPr>
        <w:jc w:val="both"/>
        <w:rPr>
          <w:iCs/>
        </w:rPr>
      </w:pPr>
      <w:r>
        <w:t>банковского дела и монетарного регулирования</w:t>
      </w:r>
    </w:p>
    <w:p w:rsidR="002A6BE5" w:rsidRDefault="00555006">
      <w:pPr>
        <w:jc w:val="both"/>
        <w:rPr>
          <w:iCs/>
        </w:rPr>
      </w:pPr>
      <w:r>
        <w:rPr>
          <w:iCs/>
        </w:rPr>
        <w:t>Финансового факультета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  М.А. Абрамова</w:t>
      </w:r>
    </w:p>
    <w:p w:rsidR="002A6BE5" w:rsidRDefault="002A6BE5">
      <w:pPr>
        <w:rPr>
          <w:iCs/>
        </w:rPr>
      </w:pPr>
    </w:p>
    <w:p w:rsidR="002A6BE5" w:rsidRDefault="00555006">
      <w:pPr>
        <w:rPr>
          <w:sz w:val="28"/>
          <w:szCs w:val="28"/>
        </w:rPr>
      </w:pPr>
      <w:proofErr w:type="gramStart"/>
      <w:r>
        <w:rPr>
          <w:iCs/>
        </w:rPr>
        <w:t xml:space="preserve">«  </w:t>
      </w:r>
      <w:proofErr w:type="gramEnd"/>
      <w:r>
        <w:rPr>
          <w:iCs/>
        </w:rPr>
        <w:t xml:space="preserve">  »                 20   г.</w:t>
      </w: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2" w:name="_Toc1158710801"/>
      <w:bookmarkStart w:id="23" w:name="_Toc158300840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8. Перечень основной и дополнительной учебной литературы, необходимой для освоения дисциплины</w:t>
      </w:r>
      <w:bookmarkEnd w:id="22"/>
      <w:bookmarkEnd w:id="23"/>
    </w:p>
    <w:p w:rsidR="002A6BE5" w:rsidRDefault="00555006">
      <w:pPr>
        <w:pStyle w:val="afc"/>
        <w:spacing w:line="360" w:lineRule="auto"/>
        <w:ind w:left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Нормативно-правовые акты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Положение Банка России от 04.07.2018 №646-П «О методике определения величины собственных средств (капитала) кредитных организаций ("Базель III")»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Положение Банка России от 03.12.2015 г. № 510-П «О порядке расчета норматива краткосрочной ликвидности («Базель III») системно значимыми кредитными организациями»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Положение Банка России от 30.05.2014г. №421-П «О порядке расчета показателя краткосрочной ликвидности (Базель III)»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Указание Банка России от 07.08.2017 г. № 4482-У «О форме и порядке раскрытия кредитной организацией (головной кредитной организацией банковской группы) информации о принимаемых рисках, процедурах их оценки, управления рисками и капиталом» (в действ.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03.04.2017 г. № 4336-У «Об оценке экономического положения банков»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07.12.2015 №3883-У «О порядке проведения Банком России оценки качества систем управления рисками и капиталом, достаточности капитала кредитной организации и банковской группы»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11.06.2014 г. № 3277-У «О методиках оценки финансовой устойчивости банка в целях признания ее достаточной для участия в системе страхования вкладов»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Письмо Банка России от 09.03.2016г. №ИН-05-35/11 «О методиках и моделях, используемых Банком России при определении величины </w:t>
      </w:r>
      <w:r>
        <w:rPr>
          <w:sz w:val="28"/>
          <w:szCs w:val="28"/>
        </w:rPr>
        <w:lastRenderedPageBreak/>
        <w:t xml:space="preserve">национальной </w:t>
      </w:r>
      <w:proofErr w:type="spellStart"/>
      <w:r>
        <w:rPr>
          <w:sz w:val="28"/>
          <w:szCs w:val="28"/>
        </w:rPr>
        <w:t>антициклической</w:t>
      </w:r>
      <w:proofErr w:type="spellEnd"/>
      <w:r>
        <w:rPr>
          <w:sz w:val="28"/>
          <w:szCs w:val="28"/>
        </w:rPr>
        <w:t xml:space="preserve"> надбавки к нормативам достаточности собственных средств (капитала)»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555006">
      <w:pPr>
        <w:pStyle w:val="afc"/>
        <w:spacing w:line="360" w:lineRule="auto"/>
        <w:ind w:left="1060"/>
        <w:jc w:val="both"/>
        <w:rPr>
          <w:sz w:val="28"/>
          <w:szCs w:val="28"/>
        </w:rPr>
      </w:pPr>
      <w:r>
        <w:rPr>
          <w:sz w:val="28"/>
          <w:szCs w:val="28"/>
        </w:rPr>
        <w:t>10. Положение Банка России от 15.07.2020 N 729-П «О методике   определения собственных средств (капитала) и обязательных нормативов, надбавок к нормативам достаточности капитала, числовых значениях обязательных нормативов и размерах (лимитах) открытых валютных позиций банковских групп»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2A6BE5" w:rsidRDefault="002A6BE5">
      <w:pPr>
        <w:spacing w:line="360" w:lineRule="auto"/>
        <w:jc w:val="center"/>
        <w:rPr>
          <w:b/>
          <w:sz w:val="28"/>
          <w:szCs w:val="28"/>
        </w:rPr>
      </w:pPr>
    </w:p>
    <w:p w:rsidR="002A6BE5" w:rsidRDefault="00555006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Рекомендуемая литература</w:t>
      </w: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а) основная литература</w:t>
      </w:r>
    </w:p>
    <w:p w:rsidR="002A6BE5" w:rsidRDefault="00555006">
      <w:pPr>
        <w:pStyle w:val="Style41"/>
        <w:widowControl/>
        <w:numPr>
          <w:ilvl w:val="0"/>
          <w:numId w:val="2"/>
        </w:numPr>
        <w:tabs>
          <w:tab w:val="left" w:pos="781"/>
        </w:tabs>
        <w:spacing w:line="360" w:lineRule="auto"/>
        <w:jc w:val="both"/>
        <w:rPr>
          <w:rStyle w:val="FontStyle73"/>
          <w:sz w:val="28"/>
          <w:szCs w:val="28"/>
        </w:rPr>
      </w:pPr>
      <w:proofErr w:type="spellStart"/>
      <w:r>
        <w:rPr>
          <w:rStyle w:val="FontStyle73"/>
          <w:sz w:val="28"/>
          <w:szCs w:val="28"/>
        </w:rPr>
        <w:t>Валенцева</w:t>
      </w:r>
      <w:proofErr w:type="spellEnd"/>
      <w:r>
        <w:rPr>
          <w:rStyle w:val="FontStyle73"/>
          <w:sz w:val="28"/>
          <w:szCs w:val="28"/>
        </w:rPr>
        <w:t xml:space="preserve">, Н. И. Оценка финансовой устойчивости и перспектив деятельности кредитных </w:t>
      </w:r>
      <w:proofErr w:type="gramStart"/>
      <w:r>
        <w:rPr>
          <w:rStyle w:val="FontStyle73"/>
          <w:sz w:val="28"/>
          <w:szCs w:val="28"/>
        </w:rPr>
        <w:t>организаций :</w:t>
      </w:r>
      <w:proofErr w:type="gramEnd"/>
      <w:r>
        <w:rPr>
          <w:rStyle w:val="FontStyle73"/>
          <w:sz w:val="28"/>
          <w:szCs w:val="28"/>
        </w:rPr>
        <w:t xml:space="preserve"> учеб. для напр. магистратуры «Финансы и кредит» / Н. И. </w:t>
      </w:r>
      <w:proofErr w:type="spellStart"/>
      <w:r>
        <w:rPr>
          <w:rStyle w:val="FontStyle73"/>
          <w:sz w:val="28"/>
          <w:szCs w:val="28"/>
        </w:rPr>
        <w:t>Валенцева</w:t>
      </w:r>
      <w:proofErr w:type="spellEnd"/>
      <w:r>
        <w:rPr>
          <w:rStyle w:val="FontStyle73"/>
          <w:sz w:val="28"/>
          <w:szCs w:val="28"/>
        </w:rPr>
        <w:t xml:space="preserve">, И. В. Ларионова, Д. А. Чичуленков. — 2-е изд., </w:t>
      </w:r>
      <w:proofErr w:type="spellStart"/>
      <w:r>
        <w:rPr>
          <w:rStyle w:val="FontStyle73"/>
          <w:sz w:val="28"/>
          <w:szCs w:val="28"/>
        </w:rPr>
        <w:t>перераб</w:t>
      </w:r>
      <w:proofErr w:type="spellEnd"/>
      <w:r>
        <w:rPr>
          <w:rStyle w:val="FontStyle73"/>
          <w:sz w:val="28"/>
          <w:szCs w:val="28"/>
        </w:rPr>
        <w:t xml:space="preserve">. и доп.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КноРус</w:t>
      </w:r>
      <w:proofErr w:type="spellEnd"/>
      <w:r>
        <w:rPr>
          <w:rStyle w:val="FontStyle73"/>
          <w:sz w:val="28"/>
          <w:szCs w:val="28"/>
        </w:rPr>
        <w:t xml:space="preserve">, 2021. — 325 с. — (Магистратура). — ISBN 978-5-406-08861-6. — ЭБС BOOK.ru. — </w:t>
      </w:r>
      <w:proofErr w:type="gramStart"/>
      <w:r>
        <w:rPr>
          <w:rStyle w:val="FontStyle73"/>
          <w:sz w:val="28"/>
          <w:szCs w:val="28"/>
        </w:rPr>
        <w:t>URL:https://book.ru/book/941534</w:t>
      </w:r>
      <w:proofErr w:type="gramEnd"/>
      <w:r>
        <w:rPr>
          <w:rStyle w:val="FontStyle73"/>
          <w:sz w:val="28"/>
          <w:szCs w:val="28"/>
        </w:rPr>
        <w:t xml:space="preserve"> (дата обращения: 13.11.2023).  — 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2A6BE5" w:rsidRDefault="00555006">
      <w:pPr>
        <w:pStyle w:val="Style41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Финансовые рынки в условиях цифровизации : монография / О. И. Лаврушин, А. В. Бердышев, С. В. Криворучко [и др.] ; под ред. К. В. </w:t>
      </w:r>
      <w:proofErr w:type="spellStart"/>
      <w:r>
        <w:rPr>
          <w:rStyle w:val="FontStyle73"/>
          <w:sz w:val="28"/>
          <w:szCs w:val="28"/>
        </w:rPr>
        <w:t>Криничанского</w:t>
      </w:r>
      <w:proofErr w:type="spellEnd"/>
      <w:r>
        <w:rPr>
          <w:rStyle w:val="FontStyle73"/>
          <w:sz w:val="28"/>
          <w:szCs w:val="28"/>
        </w:rPr>
        <w:t xml:space="preserve"> ; </w:t>
      </w:r>
      <w:proofErr w:type="spellStart"/>
      <w:r>
        <w:rPr>
          <w:rStyle w:val="FontStyle73"/>
          <w:sz w:val="28"/>
          <w:szCs w:val="28"/>
        </w:rPr>
        <w:t>Финуниверситет</w:t>
      </w:r>
      <w:proofErr w:type="spellEnd"/>
      <w:r>
        <w:rPr>
          <w:rStyle w:val="FontStyle73"/>
          <w:sz w:val="28"/>
          <w:szCs w:val="28"/>
        </w:rPr>
        <w:t xml:space="preserve">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Русайнс</w:t>
      </w:r>
      <w:proofErr w:type="spellEnd"/>
      <w:r>
        <w:rPr>
          <w:rStyle w:val="FontStyle73"/>
          <w:sz w:val="28"/>
          <w:szCs w:val="28"/>
        </w:rPr>
        <w:t xml:space="preserve">, 2020. — 371 с. — ISBN 978-5-4365-4643-8. — ЭБС BOOK.ru. — URL: </w:t>
      </w:r>
      <w:hyperlink r:id="rId35">
        <w:r>
          <w:rPr>
            <w:sz w:val="28"/>
            <w:szCs w:val="28"/>
          </w:rPr>
          <w:t>https://book.ru/book/935994</w:t>
        </w:r>
      </w:hyperlink>
      <w:r>
        <w:rPr>
          <w:rStyle w:val="FontStyle73"/>
          <w:sz w:val="28"/>
          <w:szCs w:val="28"/>
        </w:rPr>
        <w:t xml:space="preserve"> (дата обращения: 13.11.2023).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2A6BE5" w:rsidRDefault="00555006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Герасимова, Е. Б. Анализ финансовой устойчивости </w:t>
      </w:r>
      <w:proofErr w:type="gramStart"/>
      <w:r>
        <w:rPr>
          <w:rStyle w:val="FontStyle73"/>
          <w:sz w:val="28"/>
          <w:szCs w:val="28"/>
        </w:rPr>
        <w:t>банка :</w:t>
      </w:r>
      <w:proofErr w:type="gramEnd"/>
      <w:r>
        <w:rPr>
          <w:rStyle w:val="FontStyle73"/>
          <w:sz w:val="28"/>
          <w:szCs w:val="28"/>
        </w:rPr>
        <w:t xml:space="preserve"> учеб. 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 38.04.08 «Финансы и кредит»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«магистр») / Е. Б. Герасимова.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ИНФРА-М, 2020. — 366 с. — (Высшее образование: Магистратура). — ISBN 978-5-16-014227-2. — ЭБС Znanium.com. — URL: </w:t>
      </w:r>
      <w:hyperlink r:id="rId36">
        <w:r>
          <w:rPr>
            <w:sz w:val="28"/>
            <w:szCs w:val="28"/>
          </w:rPr>
          <w:t>https://znanium.com/catalog/product/1067793</w:t>
        </w:r>
      </w:hyperlink>
      <w:r>
        <w:rPr>
          <w:rStyle w:val="FontStyle73"/>
          <w:sz w:val="28"/>
          <w:szCs w:val="28"/>
        </w:rPr>
        <w:t xml:space="preserve"> (дата обращения: 13.11.2023). 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 </w:t>
      </w:r>
    </w:p>
    <w:p w:rsidR="002A6BE5" w:rsidRDefault="002A6BE5">
      <w:pPr>
        <w:pStyle w:val="Style48"/>
        <w:widowControl/>
        <w:tabs>
          <w:tab w:val="left" w:pos="781"/>
        </w:tabs>
        <w:spacing w:line="360" w:lineRule="auto"/>
        <w:ind w:left="426" w:firstLine="0"/>
        <w:jc w:val="both"/>
        <w:rPr>
          <w:rStyle w:val="FontStyle73"/>
          <w:sz w:val="28"/>
          <w:szCs w:val="28"/>
        </w:rPr>
      </w:pPr>
    </w:p>
    <w:p w:rsidR="002A6BE5" w:rsidRDefault="0055500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б) дополнительная литература</w:t>
      </w:r>
    </w:p>
    <w:p w:rsidR="002A6BE5" w:rsidRDefault="00555006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szCs w:val="28"/>
        </w:rPr>
      </w:pPr>
      <w:r>
        <w:rPr>
          <w:sz w:val="28"/>
          <w:szCs w:val="28"/>
        </w:rPr>
        <w:t xml:space="preserve">Банковский </w:t>
      </w:r>
      <w:proofErr w:type="gramStart"/>
      <w:r>
        <w:rPr>
          <w:sz w:val="28"/>
          <w:szCs w:val="28"/>
        </w:rPr>
        <w:t>менеджмент :</w:t>
      </w:r>
      <w:proofErr w:type="gramEnd"/>
      <w:r>
        <w:rPr>
          <w:sz w:val="28"/>
          <w:szCs w:val="28"/>
        </w:rPr>
        <w:t xml:space="preserve"> учеб. для напр. бакалавриата «Экономика» и для напр. магистратуры «Финансы и кредит» / Н. И. </w:t>
      </w:r>
      <w:proofErr w:type="spellStart"/>
      <w:r>
        <w:rPr>
          <w:sz w:val="28"/>
          <w:szCs w:val="28"/>
        </w:rPr>
        <w:t>Валенцева</w:t>
      </w:r>
      <w:proofErr w:type="spellEnd"/>
      <w:r>
        <w:rPr>
          <w:sz w:val="28"/>
          <w:szCs w:val="28"/>
        </w:rPr>
        <w:t xml:space="preserve">, И. В. Ларионова, Н. А. Амосова [и др.] ; под ред. О. И. Лаврушина ; </w:t>
      </w:r>
      <w:proofErr w:type="spellStart"/>
      <w:r>
        <w:rPr>
          <w:sz w:val="28"/>
          <w:szCs w:val="28"/>
        </w:rPr>
        <w:t>Финуниверситет</w:t>
      </w:r>
      <w:proofErr w:type="spellEnd"/>
      <w:r>
        <w:rPr>
          <w:sz w:val="28"/>
          <w:szCs w:val="28"/>
        </w:rPr>
        <w:t xml:space="preserve">. — 7-е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 xml:space="preserve">. и доп. </w:t>
      </w:r>
      <w:r>
        <w:rPr>
          <w:rStyle w:val="FontStyle73"/>
          <w:sz w:val="28"/>
          <w:szCs w:val="28"/>
        </w:rPr>
        <w:t xml:space="preserve">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2023. — 503 с. — ISBN 978-5-406-11640-1. </w:t>
      </w:r>
      <w:r>
        <w:rPr>
          <w:rStyle w:val="FontStyle73"/>
          <w:sz w:val="28"/>
          <w:szCs w:val="28"/>
        </w:rPr>
        <w:t>— ЭБС BOOK.ru. —</w:t>
      </w:r>
      <w:r>
        <w:rPr>
          <w:sz w:val="28"/>
          <w:szCs w:val="28"/>
        </w:rPr>
        <w:t xml:space="preserve"> URL: https://book.ru/book/949371 (дата обращения: 13.11.2023).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2A6BE5" w:rsidRDefault="00555006">
      <w:pPr>
        <w:pStyle w:val="Style41"/>
        <w:widowControl/>
        <w:numPr>
          <w:ilvl w:val="0"/>
          <w:numId w:val="2"/>
        </w:numPr>
        <w:tabs>
          <w:tab w:val="left" w:pos="781"/>
        </w:tabs>
        <w:spacing w:line="360" w:lineRule="auto"/>
        <w:jc w:val="both"/>
        <w:rPr>
          <w:iCs/>
        </w:rPr>
      </w:pPr>
      <w:r>
        <w:rPr>
          <w:rStyle w:val="FontStyle73"/>
          <w:sz w:val="28"/>
          <w:szCs w:val="28"/>
        </w:rPr>
        <w:t xml:space="preserve">Маркова, В. Д. Цифровая </w:t>
      </w:r>
      <w:proofErr w:type="gramStart"/>
      <w:r>
        <w:rPr>
          <w:rStyle w:val="FontStyle73"/>
          <w:sz w:val="28"/>
          <w:szCs w:val="28"/>
        </w:rPr>
        <w:t>экономика :</w:t>
      </w:r>
      <w:proofErr w:type="gramEnd"/>
      <w:r>
        <w:rPr>
          <w:rStyle w:val="FontStyle73"/>
          <w:sz w:val="28"/>
          <w:szCs w:val="28"/>
        </w:rPr>
        <w:t xml:space="preserve"> учеб.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38.03.02 «Менеджмент», 38.03.01 «Экономика»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«бакалавр») / В. Д. Маркова.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ИНФРА-М, 2024. — 186 с. — ISBN 978-5-16-019134-8. — ЭБС Znanium.com. — URL: </w:t>
      </w:r>
      <w:r>
        <w:rPr>
          <w:rStyle w:val="FontStyle73"/>
          <w:rFonts w:ascii="Liberation Serif" w:hAnsi="Liberation Serif"/>
          <w:color w:val="202023"/>
          <w:sz w:val="28"/>
          <w:szCs w:val="28"/>
        </w:rPr>
        <w:t>https://znanium.com/catalog/product/2082732 (дата обращения: 13.11.2023).</w:t>
      </w:r>
      <w:r>
        <w:rPr>
          <w:rStyle w:val="FontStyle73"/>
          <w:sz w:val="28"/>
          <w:szCs w:val="28"/>
        </w:rPr>
        <w:t xml:space="preserve">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2A6BE5" w:rsidRDefault="00555006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szCs w:val="28"/>
        </w:rPr>
      </w:pPr>
      <w:r>
        <w:rPr>
          <w:sz w:val="28"/>
          <w:szCs w:val="28"/>
        </w:rPr>
        <w:t xml:space="preserve">Финансовая система: цифровой </w:t>
      </w:r>
      <w:proofErr w:type="gramStart"/>
      <w:r>
        <w:rPr>
          <w:sz w:val="28"/>
          <w:szCs w:val="28"/>
        </w:rPr>
        <w:t>вызов :</w:t>
      </w:r>
      <w:proofErr w:type="gramEnd"/>
      <w:r>
        <w:rPr>
          <w:sz w:val="28"/>
          <w:szCs w:val="28"/>
        </w:rPr>
        <w:t xml:space="preserve"> монография / А. Е. Абрамов, Е. Н. Алифанова, Е. Р. Безсмертная [и др.] ; </w:t>
      </w:r>
      <w:proofErr w:type="spellStart"/>
      <w:r>
        <w:rPr>
          <w:sz w:val="28"/>
          <w:szCs w:val="28"/>
        </w:rPr>
        <w:t>Финуниверситет</w:t>
      </w:r>
      <w:proofErr w:type="spellEnd"/>
      <w:r>
        <w:rPr>
          <w:sz w:val="28"/>
          <w:szCs w:val="28"/>
        </w:rPr>
        <w:t xml:space="preserve">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2022. — 230 с. — ISBN 978-5-406-09750-2. </w:t>
      </w:r>
      <w:r>
        <w:rPr>
          <w:rStyle w:val="FontStyle73"/>
          <w:sz w:val="28"/>
          <w:szCs w:val="28"/>
        </w:rPr>
        <w:t xml:space="preserve">— ЭБС BOOK.ru. — </w:t>
      </w:r>
      <w:proofErr w:type="gramStart"/>
      <w:r>
        <w:rPr>
          <w:sz w:val="28"/>
          <w:szCs w:val="28"/>
        </w:rPr>
        <w:t>URL:https://book.ru/book/943662</w:t>
      </w:r>
      <w:proofErr w:type="gramEnd"/>
      <w:r>
        <w:rPr>
          <w:sz w:val="28"/>
          <w:szCs w:val="28"/>
        </w:rPr>
        <w:t xml:space="preserve"> (дата обращения: </w:t>
      </w:r>
      <w:r>
        <w:rPr>
          <w:rStyle w:val="FontStyle73"/>
          <w:rFonts w:ascii="Liberation Serif" w:hAnsi="Liberation Serif"/>
          <w:color w:val="202023"/>
          <w:sz w:val="28"/>
          <w:szCs w:val="28"/>
        </w:rPr>
        <w:t>13.11.2023</w:t>
      </w:r>
      <w:r>
        <w:rPr>
          <w:sz w:val="28"/>
          <w:szCs w:val="28"/>
        </w:rPr>
        <w:t xml:space="preserve">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2A6BE5" w:rsidRDefault="00555006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szCs w:val="28"/>
        </w:rPr>
      </w:pPr>
      <w:r>
        <w:rPr>
          <w:sz w:val="28"/>
          <w:szCs w:val="28"/>
        </w:rPr>
        <w:t xml:space="preserve">Цифровой </w:t>
      </w:r>
      <w:proofErr w:type="gramStart"/>
      <w:r>
        <w:rPr>
          <w:sz w:val="28"/>
          <w:szCs w:val="28"/>
        </w:rPr>
        <w:t>бизнес :</w:t>
      </w:r>
      <w:proofErr w:type="gramEnd"/>
      <w:r>
        <w:rPr>
          <w:sz w:val="28"/>
          <w:szCs w:val="28"/>
        </w:rPr>
        <w:t xml:space="preserve">  </w:t>
      </w:r>
      <w:r>
        <w:rPr>
          <w:rStyle w:val="FontStyle73"/>
          <w:sz w:val="28"/>
          <w:szCs w:val="28"/>
        </w:rPr>
        <w:t xml:space="preserve">учеб. 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 38.04.01 «Экономика», 38.04.02 «Менеджмент»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«магистр») </w:t>
      </w:r>
      <w:r>
        <w:rPr>
          <w:sz w:val="28"/>
          <w:szCs w:val="28"/>
        </w:rPr>
        <w:t xml:space="preserve">/ О. В. </w:t>
      </w:r>
      <w:proofErr w:type="spellStart"/>
      <w:r>
        <w:rPr>
          <w:sz w:val="28"/>
          <w:szCs w:val="28"/>
        </w:rPr>
        <w:t>Китова</w:t>
      </w:r>
      <w:proofErr w:type="spellEnd"/>
      <w:r>
        <w:rPr>
          <w:sz w:val="28"/>
          <w:szCs w:val="28"/>
        </w:rPr>
        <w:t xml:space="preserve">, С. Н. </w:t>
      </w:r>
      <w:proofErr w:type="spellStart"/>
      <w:r>
        <w:rPr>
          <w:sz w:val="28"/>
          <w:szCs w:val="28"/>
        </w:rPr>
        <w:t>Брускин</w:t>
      </w:r>
      <w:proofErr w:type="spellEnd"/>
      <w:r>
        <w:rPr>
          <w:sz w:val="28"/>
          <w:szCs w:val="28"/>
        </w:rPr>
        <w:t>, Л. П. Дьяконова [и др.</w:t>
      </w:r>
      <w:proofErr w:type="gramStart"/>
      <w:r>
        <w:rPr>
          <w:sz w:val="28"/>
          <w:szCs w:val="28"/>
        </w:rPr>
        <w:t>] ;</w:t>
      </w:r>
      <w:proofErr w:type="gramEnd"/>
      <w:r>
        <w:rPr>
          <w:sz w:val="28"/>
          <w:szCs w:val="28"/>
        </w:rPr>
        <w:t xml:space="preserve"> под науч. ред. О. В. Китовой.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ИНФРА-М, 2024. — 418 с.  </w:t>
      </w:r>
      <w:r>
        <w:rPr>
          <w:rStyle w:val="FontStyle73"/>
          <w:sz w:val="28"/>
          <w:szCs w:val="28"/>
        </w:rPr>
        <w:t xml:space="preserve">— </w:t>
      </w:r>
      <w:r>
        <w:rPr>
          <w:sz w:val="28"/>
          <w:szCs w:val="28"/>
        </w:rPr>
        <w:t xml:space="preserve">ISBN 978-5-16-013017-0. </w:t>
      </w:r>
      <w:r>
        <w:rPr>
          <w:rStyle w:val="FontStyle73"/>
          <w:sz w:val="28"/>
          <w:szCs w:val="28"/>
        </w:rPr>
        <w:t>— ЭБС Znanium.com. —</w:t>
      </w:r>
      <w:r>
        <w:rPr>
          <w:sz w:val="28"/>
          <w:szCs w:val="28"/>
        </w:rPr>
        <w:t xml:space="preserve"> URL: </w:t>
      </w:r>
      <w:r>
        <w:rPr>
          <w:rFonts w:ascii="Liberation Serif" w:hAnsi="Liberation Serif"/>
          <w:color w:val="202023"/>
          <w:sz w:val="28"/>
          <w:szCs w:val="28"/>
        </w:rPr>
        <w:t>https://znanium.com/catalog/product/2119104 (дата обращения: 13.11.2023)</w:t>
      </w:r>
      <w:r>
        <w:rPr>
          <w:rFonts w:ascii="Liberation Serif" w:hAnsi="Liberation Serif"/>
          <w:sz w:val="28"/>
          <w:szCs w:val="28"/>
        </w:rPr>
        <w:t>.</w:t>
      </w:r>
      <w:r>
        <w:rPr>
          <w:sz w:val="28"/>
          <w:szCs w:val="28"/>
        </w:rPr>
        <w:t xml:space="preserve">  </w:t>
      </w:r>
      <w:r>
        <w:rPr>
          <w:rStyle w:val="FontStyle73"/>
          <w:sz w:val="28"/>
          <w:szCs w:val="28"/>
        </w:rPr>
        <w:t xml:space="preserve">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2A6BE5" w:rsidRDefault="00555006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lastRenderedPageBreak/>
        <w:t xml:space="preserve">Цифровизация финансовых рынков: новые </w:t>
      </w:r>
      <w:proofErr w:type="gramStart"/>
      <w:r>
        <w:rPr>
          <w:rStyle w:val="FontStyle73"/>
          <w:sz w:val="28"/>
          <w:szCs w:val="28"/>
        </w:rPr>
        <w:t>компетенции :</w:t>
      </w:r>
      <w:proofErr w:type="gramEnd"/>
      <w:r>
        <w:rPr>
          <w:rStyle w:val="FontStyle73"/>
          <w:sz w:val="28"/>
          <w:szCs w:val="28"/>
        </w:rPr>
        <w:t xml:space="preserve"> монография / И. А. </w:t>
      </w:r>
      <w:proofErr w:type="spellStart"/>
      <w:r>
        <w:rPr>
          <w:rStyle w:val="FontStyle73"/>
          <w:sz w:val="28"/>
          <w:szCs w:val="28"/>
        </w:rPr>
        <w:t>Баздырев</w:t>
      </w:r>
      <w:proofErr w:type="spellEnd"/>
      <w:r>
        <w:rPr>
          <w:rStyle w:val="FontStyle73"/>
          <w:sz w:val="28"/>
          <w:szCs w:val="28"/>
        </w:rPr>
        <w:t xml:space="preserve">, Э. И. </w:t>
      </w:r>
      <w:proofErr w:type="spellStart"/>
      <w:r>
        <w:rPr>
          <w:rStyle w:val="FontStyle73"/>
          <w:sz w:val="28"/>
          <w:szCs w:val="28"/>
        </w:rPr>
        <w:t>Гибадуллин</w:t>
      </w:r>
      <w:proofErr w:type="spellEnd"/>
      <w:r>
        <w:rPr>
          <w:rStyle w:val="FontStyle73"/>
          <w:sz w:val="28"/>
          <w:szCs w:val="28"/>
        </w:rPr>
        <w:t xml:space="preserve">, Д. Р. </w:t>
      </w:r>
      <w:proofErr w:type="spellStart"/>
      <w:r>
        <w:rPr>
          <w:rStyle w:val="FontStyle73"/>
          <w:sz w:val="28"/>
          <w:szCs w:val="28"/>
        </w:rPr>
        <w:t>Дидигов</w:t>
      </w:r>
      <w:proofErr w:type="spellEnd"/>
      <w:r>
        <w:rPr>
          <w:rStyle w:val="FontStyle73"/>
          <w:sz w:val="28"/>
          <w:szCs w:val="28"/>
        </w:rPr>
        <w:t xml:space="preserve"> [и др.] ; под ред. К. В. </w:t>
      </w:r>
      <w:proofErr w:type="spellStart"/>
      <w:r>
        <w:rPr>
          <w:rStyle w:val="FontStyle73"/>
          <w:sz w:val="28"/>
          <w:szCs w:val="28"/>
        </w:rPr>
        <w:t>Криничанского</w:t>
      </w:r>
      <w:proofErr w:type="spellEnd"/>
      <w:r>
        <w:rPr>
          <w:rStyle w:val="FontStyle73"/>
          <w:sz w:val="28"/>
          <w:szCs w:val="28"/>
        </w:rPr>
        <w:t xml:space="preserve">, Б. Б. Рубцова ; </w:t>
      </w:r>
      <w:proofErr w:type="spellStart"/>
      <w:r>
        <w:rPr>
          <w:rStyle w:val="FontStyle73"/>
          <w:sz w:val="28"/>
          <w:szCs w:val="28"/>
        </w:rPr>
        <w:t>Финуниверситет</w:t>
      </w:r>
      <w:proofErr w:type="spellEnd"/>
      <w:r>
        <w:rPr>
          <w:rStyle w:val="FontStyle73"/>
          <w:sz w:val="28"/>
          <w:szCs w:val="28"/>
        </w:rPr>
        <w:t xml:space="preserve">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Русайнс</w:t>
      </w:r>
      <w:proofErr w:type="spellEnd"/>
      <w:r>
        <w:rPr>
          <w:rStyle w:val="FontStyle73"/>
          <w:sz w:val="28"/>
          <w:szCs w:val="28"/>
        </w:rPr>
        <w:t xml:space="preserve">, 2021. — 126 с. — ISBN 978-5-4365-7121-8. — ЭБС BOOK.ru. — URL: </w:t>
      </w:r>
      <w:hyperlink r:id="rId37">
        <w:r>
          <w:rPr>
            <w:sz w:val="28"/>
            <w:szCs w:val="28"/>
          </w:rPr>
          <w:t>https://book.ru/book/940280</w:t>
        </w:r>
      </w:hyperlink>
      <w:r>
        <w:rPr>
          <w:rStyle w:val="FontStyle73"/>
          <w:sz w:val="28"/>
          <w:szCs w:val="28"/>
        </w:rPr>
        <w:t xml:space="preserve"> (дата обращения: </w:t>
      </w:r>
      <w:r>
        <w:rPr>
          <w:rStyle w:val="FontStyle73"/>
          <w:rFonts w:ascii="Liberation Serif" w:hAnsi="Liberation Serif"/>
          <w:color w:val="202023"/>
          <w:sz w:val="28"/>
          <w:szCs w:val="28"/>
        </w:rPr>
        <w:t>13.11.2023</w:t>
      </w:r>
      <w:r>
        <w:rPr>
          <w:rStyle w:val="FontStyle73"/>
          <w:sz w:val="28"/>
          <w:szCs w:val="28"/>
        </w:rPr>
        <w:t xml:space="preserve">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 </w:t>
      </w:r>
    </w:p>
    <w:p w:rsidR="002A6BE5" w:rsidRDefault="002A6BE5">
      <w:pPr>
        <w:pStyle w:val="afc"/>
        <w:widowControl/>
        <w:spacing w:line="276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2A6BE5" w:rsidRDefault="002A6BE5">
      <w:pPr>
        <w:jc w:val="both"/>
        <w:rPr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4" w:name="_Toc1158710811"/>
      <w:bookmarkStart w:id="25" w:name="_Toc158300841"/>
      <w:r>
        <w:rPr>
          <w:rFonts w:ascii="Times New Roman" w:hAnsi="Times New Roman" w:cs="Times New Roman"/>
          <w:b/>
          <w:color w:val="auto"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</w:t>
      </w:r>
      <w:bookmarkEnd w:id="24"/>
      <w:bookmarkEnd w:id="25"/>
    </w:p>
    <w:p w:rsidR="002A6BE5" w:rsidRPr="007F6838" w:rsidRDefault="00555006">
      <w:pPr>
        <w:pStyle w:val="afc"/>
        <w:widowControl/>
        <w:numPr>
          <w:ilvl w:val="0"/>
          <w:numId w:val="11"/>
        </w:numPr>
        <w:spacing w:after="120" w:line="276" w:lineRule="auto"/>
        <w:jc w:val="both"/>
        <w:rPr>
          <w:iCs/>
          <w:lang w:val="en-US"/>
        </w:rPr>
      </w:pPr>
      <w:r>
        <w:rPr>
          <w:sz w:val="28"/>
          <w:szCs w:val="28"/>
        </w:rPr>
        <w:t xml:space="preserve">Банк России. Раскрытие информации кредитными организациями. </w:t>
      </w:r>
      <w:r>
        <w:rPr>
          <w:sz w:val="28"/>
          <w:szCs w:val="28"/>
          <w:lang w:val="en-US"/>
        </w:rPr>
        <w:t xml:space="preserve">URL: </w:t>
      </w:r>
      <w:hyperlink r:id="rId38">
        <w:r>
          <w:rPr>
            <w:sz w:val="28"/>
            <w:szCs w:val="28"/>
            <w:lang w:val="en-US"/>
          </w:rPr>
          <w:t>http://www.cbr.ru/banking_sector/otchetnost-kreditnykh-organizaciy/transparent</w:t>
        </w:r>
      </w:hyperlink>
      <w:hyperlink r:id="rId39">
        <w:r>
          <w:rPr>
            <w:sz w:val="28"/>
            <w:szCs w:val="28"/>
            <w:lang w:val="en-US"/>
          </w:rPr>
          <w:t>/</w:t>
        </w:r>
      </w:hyperlink>
      <w:r>
        <w:rPr>
          <w:sz w:val="28"/>
          <w:szCs w:val="28"/>
          <w:lang w:val="en-US"/>
        </w:rPr>
        <w:t xml:space="preserve">. </w:t>
      </w:r>
    </w:p>
    <w:p w:rsidR="002A6BE5" w:rsidRPr="007F6838" w:rsidRDefault="00555006">
      <w:pPr>
        <w:pStyle w:val="afc"/>
        <w:widowControl/>
        <w:numPr>
          <w:ilvl w:val="0"/>
          <w:numId w:val="11"/>
        </w:numPr>
        <w:spacing w:after="120" w:line="276" w:lineRule="auto"/>
        <w:jc w:val="both"/>
        <w:rPr>
          <w:iCs/>
          <w:lang w:val="en-US"/>
        </w:rPr>
      </w:pPr>
      <w:r>
        <w:rPr>
          <w:sz w:val="28"/>
          <w:szCs w:val="28"/>
        </w:rPr>
        <w:t xml:space="preserve">Портал арбитражных дел «Электронное правосудие». </w:t>
      </w:r>
      <w:r>
        <w:rPr>
          <w:sz w:val="28"/>
          <w:szCs w:val="28"/>
          <w:lang w:val="en-US"/>
        </w:rPr>
        <w:t xml:space="preserve">URL: </w:t>
      </w:r>
      <w:hyperlink r:id="rId40">
        <w:r>
          <w:rPr>
            <w:sz w:val="28"/>
            <w:szCs w:val="28"/>
            <w:lang w:val="en-US"/>
          </w:rPr>
          <w:t>https://kad.arbitr.ru/</w:t>
        </w:r>
      </w:hyperlink>
      <w:r>
        <w:rPr>
          <w:sz w:val="28"/>
          <w:szCs w:val="28"/>
          <w:lang w:val="en-US"/>
        </w:rPr>
        <w:t>.</w:t>
      </w:r>
    </w:p>
    <w:p w:rsidR="002A6BE5" w:rsidRDefault="00555006">
      <w:pPr>
        <w:pStyle w:val="afc"/>
        <w:numPr>
          <w:ilvl w:val="0"/>
          <w:numId w:val="11"/>
        </w:numPr>
        <w:spacing w:after="120" w:line="276" w:lineRule="auto"/>
        <w:jc w:val="both"/>
        <w:rPr>
          <w:iCs/>
        </w:rPr>
      </w:pPr>
      <w:r>
        <w:rPr>
          <w:bCs/>
          <w:sz w:val="28"/>
          <w:szCs w:val="28"/>
        </w:rPr>
        <w:t xml:space="preserve">Портал банковского аналитика.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41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</w:hyperlink>
      <w:hyperlink r:id="rId42">
        <w:proofErr w:type="spellStart"/>
        <w:r>
          <w:rPr>
            <w:bCs/>
            <w:sz w:val="28"/>
            <w:szCs w:val="28"/>
            <w:lang w:val="en-US"/>
          </w:rPr>
          <w:t>analizbankov</w:t>
        </w:r>
        <w:proofErr w:type="spellEnd"/>
      </w:hyperlink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  <w:r>
        <w:rPr>
          <w:bCs/>
          <w:sz w:val="28"/>
          <w:szCs w:val="28"/>
        </w:rPr>
        <w:t>/</w:t>
      </w:r>
      <w:r>
        <w:rPr>
          <w:bCs/>
          <w:sz w:val="28"/>
          <w:szCs w:val="28"/>
          <w:lang w:val="en-US"/>
        </w:rPr>
        <w:t>bank</w:t>
      </w:r>
      <w:r>
        <w:rPr>
          <w:bCs/>
          <w:sz w:val="28"/>
          <w:szCs w:val="28"/>
        </w:rPr>
        <w:t>.</w:t>
      </w:r>
      <w:r>
        <w:rPr>
          <w:bCs/>
          <w:sz w:val="28"/>
          <w:szCs w:val="28"/>
          <w:lang w:val="en-US"/>
        </w:rPr>
        <w:t>php</w:t>
      </w:r>
    </w:p>
    <w:p w:rsidR="002A6BE5" w:rsidRPr="007F6838" w:rsidRDefault="00555006">
      <w:pPr>
        <w:pStyle w:val="afc"/>
        <w:numPr>
          <w:ilvl w:val="0"/>
          <w:numId w:val="11"/>
        </w:numPr>
        <w:spacing w:after="120" w:line="276" w:lineRule="auto"/>
        <w:jc w:val="both"/>
        <w:rPr>
          <w:iCs/>
          <w:lang w:val="en-US"/>
        </w:rPr>
      </w:pPr>
      <w:r>
        <w:rPr>
          <w:bCs/>
          <w:sz w:val="28"/>
          <w:szCs w:val="28"/>
        </w:rPr>
        <w:t xml:space="preserve">Приложение для бизнес-аналитики </w:t>
      </w:r>
      <w:r>
        <w:rPr>
          <w:bCs/>
          <w:sz w:val="28"/>
          <w:szCs w:val="28"/>
          <w:lang w:val="en-US"/>
        </w:rPr>
        <w:t>MS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Power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BI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Desktop</w:t>
      </w:r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3">
        <w:r>
          <w:rPr>
            <w:bCs/>
            <w:sz w:val="28"/>
            <w:szCs w:val="28"/>
            <w:lang w:val="en-US"/>
          </w:rPr>
          <w:t>https://</w:t>
        </w:r>
      </w:hyperlink>
      <w:hyperlink r:id="rId44">
        <w:r>
          <w:rPr>
            <w:bCs/>
            <w:sz w:val="28"/>
            <w:szCs w:val="28"/>
            <w:lang w:val="en-US"/>
          </w:rPr>
          <w:t>www.microsoft.com/ru-RU/download/details.aspx?id=58494</w:t>
        </w:r>
      </w:hyperlink>
      <w:r>
        <w:rPr>
          <w:bCs/>
          <w:sz w:val="28"/>
          <w:szCs w:val="28"/>
          <w:lang w:val="en-US"/>
        </w:rPr>
        <w:t xml:space="preserve"> </w:t>
      </w:r>
    </w:p>
    <w:p w:rsidR="002A6BE5" w:rsidRDefault="00555006">
      <w:pPr>
        <w:pStyle w:val="afc"/>
        <w:numPr>
          <w:ilvl w:val="0"/>
          <w:numId w:val="11"/>
        </w:numPr>
        <w:spacing w:after="120" w:line="276" w:lineRule="auto"/>
        <w:jc w:val="both"/>
        <w:rPr>
          <w:iCs/>
        </w:rPr>
      </w:pPr>
      <w:r>
        <w:rPr>
          <w:bCs/>
          <w:sz w:val="28"/>
          <w:szCs w:val="28"/>
        </w:rPr>
        <w:t xml:space="preserve">Система управления проектами </w:t>
      </w:r>
      <w:proofErr w:type="spellStart"/>
      <w:r>
        <w:rPr>
          <w:bCs/>
          <w:sz w:val="28"/>
          <w:szCs w:val="28"/>
          <w:lang w:val="en-US"/>
        </w:rPr>
        <w:t>YouGile</w:t>
      </w:r>
      <w:proofErr w:type="spellEnd"/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45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  <w:proofErr w:type="spellStart"/>
        <w:r>
          <w:rPr>
            <w:bCs/>
            <w:sz w:val="28"/>
            <w:szCs w:val="28"/>
            <w:lang w:val="en-US"/>
          </w:rPr>
          <w:t>ru</w:t>
        </w:r>
        <w:proofErr w:type="spellEnd"/>
        <w:r>
          <w:rPr>
            <w:bCs/>
            <w:sz w:val="28"/>
            <w:szCs w:val="28"/>
          </w:rPr>
          <w:t>.</w:t>
        </w:r>
        <w:proofErr w:type="spellStart"/>
        <w:r>
          <w:rPr>
            <w:bCs/>
            <w:sz w:val="28"/>
            <w:szCs w:val="28"/>
            <w:lang w:val="en-US"/>
          </w:rPr>
          <w:t>yougile</w:t>
        </w:r>
        <w:proofErr w:type="spellEnd"/>
        <w:r>
          <w:rPr>
            <w:bCs/>
            <w:sz w:val="28"/>
            <w:szCs w:val="28"/>
          </w:rPr>
          <w:t>.</w:t>
        </w:r>
        <w:r>
          <w:rPr>
            <w:bCs/>
            <w:sz w:val="28"/>
            <w:szCs w:val="28"/>
            <w:lang w:val="en-US"/>
          </w:rPr>
          <w:t>com</w:t>
        </w:r>
      </w:hyperlink>
      <w:hyperlink r:id="rId46">
        <w:r>
          <w:rPr>
            <w:bCs/>
            <w:sz w:val="28"/>
            <w:szCs w:val="28"/>
          </w:rPr>
          <w:t>/</w:t>
        </w:r>
      </w:hyperlink>
    </w:p>
    <w:p w:rsidR="002A6BE5" w:rsidRPr="007F6838" w:rsidRDefault="00555006">
      <w:pPr>
        <w:pStyle w:val="afc"/>
        <w:numPr>
          <w:ilvl w:val="0"/>
          <w:numId w:val="11"/>
        </w:numPr>
        <w:spacing w:after="120" w:line="276" w:lineRule="auto"/>
        <w:jc w:val="both"/>
        <w:rPr>
          <w:iCs/>
          <w:lang w:val="en-US"/>
        </w:rPr>
      </w:pPr>
      <w:r>
        <w:rPr>
          <w:bCs/>
          <w:sz w:val="28"/>
          <w:szCs w:val="28"/>
        </w:rPr>
        <w:t xml:space="preserve">Сервис визуализации и анализа данных от </w:t>
      </w:r>
      <w:proofErr w:type="spellStart"/>
      <w:r>
        <w:rPr>
          <w:bCs/>
          <w:sz w:val="28"/>
          <w:szCs w:val="28"/>
        </w:rPr>
        <w:t>Yandex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Cloud</w:t>
      </w:r>
      <w:proofErr w:type="spellEnd"/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7">
        <w:r>
          <w:rPr>
            <w:bCs/>
            <w:sz w:val="28"/>
            <w:szCs w:val="28"/>
            <w:lang w:val="en-US"/>
          </w:rPr>
          <w:t>https://cloud.yandex.ru/docs/datalens</w:t>
        </w:r>
      </w:hyperlink>
      <w:hyperlink r:id="rId48">
        <w:r>
          <w:rPr>
            <w:bCs/>
            <w:sz w:val="28"/>
            <w:szCs w:val="28"/>
            <w:lang w:val="en-US"/>
          </w:rPr>
          <w:t>/</w:t>
        </w:r>
      </w:hyperlink>
    </w:p>
    <w:p w:rsidR="002A6BE5" w:rsidRPr="007F6838" w:rsidRDefault="00555006">
      <w:pPr>
        <w:pStyle w:val="afc"/>
        <w:widowControl/>
        <w:numPr>
          <w:ilvl w:val="0"/>
          <w:numId w:val="11"/>
        </w:numPr>
        <w:spacing w:after="120" w:line="276" w:lineRule="auto"/>
        <w:jc w:val="both"/>
        <w:rPr>
          <w:iCs/>
          <w:lang w:val="en-US"/>
        </w:rPr>
      </w:pPr>
      <w:r>
        <w:rPr>
          <w:sz w:val="28"/>
          <w:szCs w:val="28"/>
        </w:rPr>
        <w:t xml:space="preserve">Центр раскрытия корпоративной информации Интерфакс. </w:t>
      </w:r>
      <w:r>
        <w:rPr>
          <w:sz w:val="28"/>
          <w:szCs w:val="28"/>
          <w:lang w:val="en-US"/>
        </w:rPr>
        <w:t xml:space="preserve">URL: </w:t>
      </w:r>
      <w:hyperlink r:id="rId49">
        <w:r>
          <w:rPr>
            <w:sz w:val="28"/>
            <w:szCs w:val="28"/>
            <w:lang w:val="en-US"/>
          </w:rPr>
          <w:t>https://e-disclosure.ru/?attempt=1</w:t>
        </w:r>
      </w:hyperlink>
      <w:r>
        <w:rPr>
          <w:sz w:val="28"/>
          <w:szCs w:val="28"/>
          <w:lang w:val="en-US"/>
        </w:rPr>
        <w:t xml:space="preserve">. </w:t>
      </w:r>
    </w:p>
    <w:p w:rsidR="002A6BE5" w:rsidRDefault="00555006">
      <w:pPr>
        <w:pStyle w:val="afc"/>
        <w:widowControl/>
        <w:numPr>
          <w:ilvl w:val="0"/>
          <w:numId w:val="11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>Электронная библиотека Финансового университета (ЭБ) http://elib.fa.ru/</w:t>
      </w:r>
    </w:p>
    <w:p w:rsidR="002A6BE5" w:rsidRDefault="00555006">
      <w:pPr>
        <w:pStyle w:val="afc"/>
        <w:widowControl/>
        <w:numPr>
          <w:ilvl w:val="0"/>
          <w:numId w:val="11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>Электронно-библиотечная система BOOK.RU http://www.book.ru</w:t>
      </w:r>
    </w:p>
    <w:p w:rsidR="002A6BE5" w:rsidRDefault="00555006">
      <w:pPr>
        <w:pStyle w:val="afc"/>
        <w:widowControl/>
        <w:numPr>
          <w:ilvl w:val="0"/>
          <w:numId w:val="11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 xml:space="preserve">Электронно-библиотечная система </w:t>
      </w:r>
      <w:proofErr w:type="spellStart"/>
      <w:r>
        <w:rPr>
          <w:color w:val="000000" w:themeColor="text1"/>
          <w:sz w:val="28"/>
          <w:szCs w:val="28"/>
          <w:lang w:val="en-US"/>
        </w:rPr>
        <w:t>Znanium</w:t>
      </w:r>
      <w:proofErr w:type="spellEnd"/>
      <w:r>
        <w:rPr>
          <w:color w:val="000000" w:themeColor="text1"/>
          <w:sz w:val="28"/>
          <w:szCs w:val="28"/>
        </w:rPr>
        <w:t xml:space="preserve"> http://www.znanium.com</w:t>
      </w:r>
    </w:p>
    <w:p w:rsidR="002A6BE5" w:rsidRDefault="00555006">
      <w:pPr>
        <w:widowControl/>
        <w:numPr>
          <w:ilvl w:val="0"/>
          <w:numId w:val="11"/>
        </w:numPr>
        <w:spacing w:after="120" w:line="276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Ресурсы информационно-аналитического агентства по финансовым рынкам Cbonds.ru https://cbonds.ru/</w:t>
      </w:r>
    </w:p>
    <w:p w:rsidR="002A6BE5" w:rsidRDefault="002A6BE5">
      <w:pPr>
        <w:keepNext/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2A6BE5">
      <w:pPr>
        <w:spacing w:line="360" w:lineRule="auto"/>
        <w:ind w:firstLine="709"/>
        <w:jc w:val="both"/>
        <w:rPr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6" w:name="_Toc158300842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10. Методические указания для обучающихся по освоению дисциплины</w:t>
      </w:r>
      <w:bookmarkEnd w:id="26"/>
    </w:p>
    <w:p w:rsidR="002A6BE5" w:rsidRDefault="00555006">
      <w:pPr>
        <w:spacing w:beforeAutospacing="1" w:afterAutospacing="1" w:line="360" w:lineRule="auto"/>
        <w:ind w:firstLine="709"/>
        <w:jc w:val="both"/>
        <w:rPr>
          <w:iCs/>
        </w:rPr>
      </w:pPr>
      <w:r>
        <w:rPr>
          <w:rFonts w:eastAsia="Times New Roman"/>
          <w:sz w:val="28"/>
          <w:szCs w:val="28"/>
        </w:rPr>
        <w:t xml:space="preserve">Самостоятельная работа студентов реализуется в соответствии с приказом Финансового университета от 11.05.2021 № 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 и методическими рекомендациями, разрабатываемыми департаментами и кафедрами. Промежуточная аттестация проводится в соответствии с приказом Финансового университета от 23.03.2017 № 0557/о «Об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университете». Департаментом могут разрабатываться дополнительные методические рекомендации для отдельных форм проведения аудиторных занятий и самостоятельной работы студентов.  </w:t>
      </w:r>
    </w:p>
    <w:p w:rsidR="002A6BE5" w:rsidRDefault="002A6BE5">
      <w:pPr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7" w:name="_Toc158300843"/>
      <w:r>
        <w:rPr>
          <w:rFonts w:ascii="Times New Roman" w:hAnsi="Times New Roman" w:cs="Times New Roman"/>
          <w:b/>
          <w:color w:val="auto"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27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2A6BE5" w:rsidRDefault="00555006">
      <w:pPr>
        <w:keepNext/>
        <w:jc w:val="both"/>
        <w:outlineLvl w:val="0"/>
        <w:rPr>
          <w:rFonts w:eastAsia="Calibri"/>
          <w:b/>
          <w:bCs/>
          <w:kern w:val="2"/>
          <w:sz w:val="28"/>
          <w:szCs w:val="28"/>
        </w:rPr>
      </w:pPr>
      <w:bookmarkStart w:id="28" w:name="_Toc531614950"/>
      <w:bookmarkStart w:id="29" w:name="_Toc531686467"/>
      <w:bookmarkStart w:id="30" w:name="_Toc22036690"/>
      <w:bookmarkStart w:id="31" w:name="_Toc115871084"/>
      <w:bookmarkStart w:id="32" w:name="_Toc158300844"/>
      <w:r>
        <w:rPr>
          <w:rFonts w:eastAsia="Calibri"/>
          <w:b/>
          <w:bCs/>
          <w:kern w:val="2"/>
          <w:sz w:val="28"/>
          <w:szCs w:val="28"/>
        </w:rPr>
        <w:t>11. 1. Комплект лицензионного программного обеспечения:</w:t>
      </w:r>
      <w:bookmarkEnd w:id="28"/>
      <w:bookmarkEnd w:id="29"/>
      <w:bookmarkEnd w:id="30"/>
      <w:bookmarkEnd w:id="31"/>
      <w:bookmarkEnd w:id="32"/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bookmarkStart w:id="33" w:name="_Toc531614951"/>
      <w:bookmarkStart w:id="34" w:name="_Toc531686468"/>
      <w:r>
        <w:rPr>
          <w:sz w:val="28"/>
          <w:szCs w:val="28"/>
        </w:rPr>
        <w:t xml:space="preserve">1. ОС </w:t>
      </w:r>
      <w:r>
        <w:rPr>
          <w:sz w:val="28"/>
          <w:szCs w:val="28"/>
          <w:lang w:val="en-US"/>
        </w:rPr>
        <w:t>Windows</w:t>
      </w:r>
      <w:r>
        <w:rPr>
          <w:sz w:val="28"/>
          <w:szCs w:val="28"/>
        </w:rPr>
        <w:t xml:space="preserve"> или ОС </w:t>
      </w:r>
      <w:r>
        <w:rPr>
          <w:sz w:val="28"/>
          <w:szCs w:val="28"/>
          <w:lang w:val="en-US"/>
        </w:rPr>
        <w:t>Astra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Linux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gramStart"/>
      <w:r>
        <w:rPr>
          <w:sz w:val="28"/>
          <w:szCs w:val="28"/>
          <w:lang w:val="en-US"/>
        </w:rPr>
        <w:t>Microsoft</w:t>
      </w:r>
      <w:r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Office</w:t>
      </w:r>
      <w:bookmarkEnd w:id="33"/>
      <w:bookmarkEnd w:id="34"/>
      <w:proofErr w:type="gramEnd"/>
      <w:r>
        <w:rPr>
          <w:sz w:val="28"/>
          <w:szCs w:val="28"/>
        </w:rPr>
        <w:t xml:space="preserve"> или пакет </w:t>
      </w:r>
      <w:r>
        <w:rPr>
          <w:sz w:val="28"/>
          <w:szCs w:val="28"/>
          <w:lang w:val="en-US"/>
        </w:rPr>
        <w:t>LibreOffice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Приложение для бизнес-аналитики </w:t>
      </w:r>
      <w:r>
        <w:rPr>
          <w:sz w:val="28"/>
          <w:szCs w:val="28"/>
          <w:lang w:val="en-US"/>
        </w:rPr>
        <w:t>MS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Power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BI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Desktop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Онлайн-приложение для бизнес-аналитики</w:t>
      </w:r>
      <w:r>
        <w:t xml:space="preserve"> 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bookmarkStart w:id="35" w:name="_Toc531614952"/>
      <w:bookmarkStart w:id="36" w:name="_Toc531686469"/>
      <w:r>
        <w:rPr>
          <w:sz w:val="28"/>
          <w:szCs w:val="28"/>
        </w:rPr>
        <w:t xml:space="preserve">5. Антивирус </w:t>
      </w:r>
      <w:bookmarkEnd w:id="35"/>
      <w:bookmarkEnd w:id="36"/>
      <w:r>
        <w:rPr>
          <w:sz w:val="28"/>
          <w:szCs w:val="28"/>
          <w:lang w:val="en-US"/>
        </w:rPr>
        <w:t>Kaspersky</w:t>
      </w:r>
    </w:p>
    <w:p w:rsidR="002A6BE5" w:rsidRDefault="00555006">
      <w:pPr>
        <w:keepNext/>
        <w:jc w:val="both"/>
        <w:outlineLvl w:val="0"/>
        <w:rPr>
          <w:rFonts w:eastAsia="Calibri"/>
          <w:bCs/>
          <w:kern w:val="2"/>
          <w:sz w:val="28"/>
          <w:szCs w:val="28"/>
        </w:rPr>
      </w:pPr>
      <w:bookmarkStart w:id="37" w:name="_Toc531614953"/>
      <w:bookmarkStart w:id="38" w:name="_Toc531686470"/>
      <w:bookmarkStart w:id="39" w:name="_Toc22036691"/>
      <w:bookmarkStart w:id="40" w:name="_Toc115871085"/>
      <w:bookmarkStart w:id="41" w:name="_Toc158300845"/>
      <w:r>
        <w:rPr>
          <w:rFonts w:eastAsia="Calibri"/>
          <w:b/>
          <w:bCs/>
          <w:kern w:val="2"/>
          <w:sz w:val="28"/>
          <w:szCs w:val="28"/>
        </w:rPr>
        <w:t>11.2. Современные профессиональные базы данных и информационные справочные системы</w:t>
      </w:r>
      <w:bookmarkEnd w:id="37"/>
      <w:bookmarkEnd w:id="38"/>
      <w:bookmarkEnd w:id="39"/>
      <w:bookmarkEnd w:id="40"/>
      <w:bookmarkEnd w:id="41"/>
    </w:p>
    <w:p w:rsidR="002A6BE5" w:rsidRDefault="002A6BE5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2A6BE5" w:rsidRDefault="00555006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1. </w:t>
      </w:r>
      <w:r>
        <w:rPr>
          <w:sz w:val="28"/>
          <w:szCs w:val="28"/>
        </w:rPr>
        <w:t xml:space="preserve">Банк России. Раскрытие информации кредитными организациями. 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0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cbr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banking</w:t>
        </w:r>
        <w:r>
          <w:rPr>
            <w:sz w:val="28"/>
            <w:szCs w:val="28"/>
          </w:rPr>
          <w:t>_</w:t>
        </w:r>
        <w:r>
          <w:rPr>
            <w:sz w:val="28"/>
            <w:szCs w:val="28"/>
            <w:lang w:val="en-US"/>
          </w:rPr>
          <w:t>sector</w:t>
        </w:r>
        <w:r>
          <w:rPr>
            <w:sz w:val="28"/>
            <w:szCs w:val="28"/>
          </w:rPr>
          <w:t>/</w:t>
        </w:r>
        <w:proofErr w:type="spellStart"/>
        <w:r>
          <w:rPr>
            <w:sz w:val="28"/>
            <w:szCs w:val="28"/>
            <w:lang w:val="en-US"/>
          </w:rPr>
          <w:t>otchetnost</w:t>
        </w:r>
        <w:proofErr w:type="spellEnd"/>
        <w:r>
          <w:rPr>
            <w:sz w:val="28"/>
            <w:szCs w:val="28"/>
          </w:rPr>
          <w:t>-</w:t>
        </w:r>
        <w:proofErr w:type="spellStart"/>
        <w:r>
          <w:rPr>
            <w:sz w:val="28"/>
            <w:szCs w:val="28"/>
            <w:lang w:val="en-US"/>
          </w:rPr>
          <w:t>kreditnykh</w:t>
        </w:r>
        <w:proofErr w:type="spellEnd"/>
        <w:r>
          <w:rPr>
            <w:sz w:val="28"/>
            <w:szCs w:val="28"/>
          </w:rPr>
          <w:t>-</w:t>
        </w:r>
        <w:proofErr w:type="spellStart"/>
        <w:r>
          <w:rPr>
            <w:sz w:val="28"/>
            <w:szCs w:val="28"/>
            <w:lang w:val="en-US"/>
          </w:rPr>
          <w:t>organizaciy</w:t>
        </w:r>
        <w:proofErr w:type="spellEnd"/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transparent</w:t>
        </w:r>
        <w:r>
          <w:rPr>
            <w:sz w:val="28"/>
            <w:szCs w:val="28"/>
          </w:rPr>
          <w:t>/</w:t>
        </w:r>
      </w:hyperlink>
      <w:r>
        <w:rPr>
          <w:rFonts w:eastAsia="Calibri"/>
          <w:bCs/>
          <w:sz w:val="28"/>
          <w:szCs w:val="28"/>
        </w:rPr>
        <w:t xml:space="preserve"> .</w:t>
      </w:r>
    </w:p>
    <w:p w:rsidR="002A6BE5" w:rsidRDefault="00555006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lastRenderedPageBreak/>
        <w:t xml:space="preserve">2. Портал банковского аналитика. </w:t>
      </w:r>
      <w:r>
        <w:rPr>
          <w:sz w:val="28"/>
          <w:szCs w:val="28"/>
        </w:rPr>
        <w:t xml:space="preserve">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1">
        <w:r>
          <w:rPr>
            <w:rFonts w:eastAsia="Calibri"/>
            <w:bCs/>
            <w:sz w:val="28"/>
            <w:szCs w:val="28"/>
          </w:rPr>
          <w:t>https://analizbankov.ru/bank.php</w:t>
        </w:r>
      </w:hyperlink>
      <w:r>
        <w:rPr>
          <w:rFonts w:eastAsia="Calibri"/>
          <w:bCs/>
          <w:sz w:val="28"/>
          <w:szCs w:val="28"/>
        </w:rPr>
        <w:t xml:space="preserve">. </w:t>
      </w:r>
    </w:p>
    <w:p w:rsidR="002A6BE5" w:rsidRDefault="00555006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>3. Портал арбитражных дел «Электронное правосудие» (</w:t>
      </w:r>
      <w:hyperlink r:id="rId52">
        <w:r>
          <w:rPr>
            <w:sz w:val="28"/>
            <w:szCs w:val="28"/>
          </w:rPr>
          <w:t>https://kad.arbitr.ru/</w:t>
        </w:r>
      </w:hyperlink>
      <w:r>
        <w:rPr>
          <w:sz w:val="28"/>
          <w:szCs w:val="28"/>
        </w:rPr>
        <w:t>).</w:t>
      </w:r>
    </w:p>
    <w:p w:rsidR="002A6BE5" w:rsidRDefault="00555006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4. Информационно-правовая система «Гарант»</w:t>
      </w:r>
    </w:p>
    <w:p w:rsidR="002A6BE5" w:rsidRDefault="00555006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5. Информационно-правовая система «Консультант Плюс»</w:t>
      </w:r>
    </w:p>
    <w:p w:rsidR="002A6BE5" w:rsidRDefault="002A6BE5">
      <w:pPr>
        <w:spacing w:line="360" w:lineRule="auto"/>
        <w:jc w:val="both"/>
        <w:rPr>
          <w:bCs/>
          <w:sz w:val="28"/>
          <w:szCs w:val="28"/>
        </w:rPr>
      </w:pPr>
    </w:p>
    <w:p w:rsidR="002A6BE5" w:rsidRDefault="00555006">
      <w:pPr>
        <w:shd w:val="clear" w:color="auto" w:fill="FFFFFF"/>
        <w:tabs>
          <w:tab w:val="left" w:pos="442"/>
        </w:tabs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2A6BE5" w:rsidRDefault="00555006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Указанные средства не используются</w:t>
      </w:r>
    </w:p>
    <w:p w:rsidR="002A6BE5" w:rsidRDefault="002A6BE5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2A6BE5" w:rsidRDefault="00555006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2" w:name="_Toc158300846"/>
      <w:r>
        <w:rPr>
          <w:rFonts w:ascii="Times New Roman" w:hAnsi="Times New Roman" w:cs="Times New Roman"/>
          <w:b/>
          <w:color w:val="auto"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42"/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компьютерные классы с выходом в Интернет;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аудитории, оборудованные мультимедийными средствами обучения;</w:t>
      </w:r>
    </w:p>
    <w:p w:rsidR="002A6BE5" w:rsidRDefault="0055500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доступ к современным информационным системам.</w:t>
      </w:r>
    </w:p>
    <w:sectPr w:rsidR="002A6BE5">
      <w:headerReference w:type="default" r:id="rId53"/>
      <w:footerReference w:type="default" r:id="rId54"/>
      <w:pgSz w:w="11906" w:h="16838"/>
      <w:pgMar w:top="1134" w:right="850" w:bottom="1134" w:left="1701" w:header="708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C218E" w:rsidRDefault="00DC218E">
      <w:r>
        <w:separator/>
      </w:r>
    </w:p>
  </w:endnote>
  <w:endnote w:type="continuationSeparator" w:id="0">
    <w:p w:rsidR="00DC218E" w:rsidRDefault="00DC21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altName w:val="Arial"/>
    <w:charset w:val="01"/>
    <w:family w:val="roman"/>
    <w:pitch w:val="default"/>
  </w:font>
  <w:font w:name="Noto Sans Devanagari">
    <w:altName w:val="Cambria"/>
    <w:panose1 w:val="00000000000000000000"/>
    <w:charset w:val="00"/>
    <w:family w:val="roman"/>
    <w:notTrueType/>
    <w:pitch w:val="default"/>
  </w:font>
  <w:font w:name="Source Han Sans CN Regular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  <w:font w:name="Liberation Serif">
    <w:altName w:val="Times New Roman"/>
    <w:charset w:val="01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25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52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57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58</w:t>
    </w:r>
    <w: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60</w:t>
    </w:r>
    <w: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widowControl/>
    </w:pPr>
    <w:r>
      <w:fldChar w:fldCharType="begin"/>
    </w:r>
    <w:r>
      <w:instrText>PAGE</w:instrText>
    </w:r>
    <w:r>
      <w:fldChar w:fldCharType="separate"/>
    </w:r>
    <w:r>
      <w:t>67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C218E" w:rsidRDefault="00DC218E">
      <w:pPr>
        <w:rPr>
          <w:sz w:val="12"/>
        </w:rPr>
      </w:pPr>
      <w:r>
        <w:separator/>
      </w:r>
    </w:p>
  </w:footnote>
  <w:footnote w:type="continuationSeparator" w:id="0">
    <w:p w:rsidR="00DC218E" w:rsidRDefault="00DC218E">
      <w:pPr>
        <w:rPr>
          <w:sz w:val="12"/>
        </w:rPr>
      </w:pPr>
      <w:r>
        <w:continuationSeparator/>
      </w:r>
    </w:p>
  </w:footnote>
  <w:footnote w:id="1">
    <w:p w:rsidR="007F6838" w:rsidRDefault="007F6838">
      <w:pPr>
        <w:pStyle w:val="a3"/>
      </w:pPr>
      <w:r>
        <w:rPr>
          <w:rStyle w:val="af0"/>
        </w:rPr>
        <w:footnoteRef/>
      </w:r>
      <w:r>
        <w:t xml:space="preserve"> Банк России. Раскрытие информации кредитными организациями. [Электронный ресурс] </w:t>
      </w:r>
      <w:r>
        <w:rPr>
          <w:lang w:val="en-US"/>
        </w:rPr>
        <w:t>URL</w:t>
      </w:r>
      <w:r>
        <w:t xml:space="preserve">: </w:t>
      </w:r>
      <w:hyperlink r:id="rId1">
        <w:r>
          <w:rPr>
            <w:lang w:val="en-US"/>
          </w:rPr>
          <w:t>http</w:t>
        </w:r>
        <w:r>
          <w:t>://</w:t>
        </w:r>
        <w:r>
          <w:rPr>
            <w:lang w:val="en-US"/>
          </w:rPr>
          <w:t>www</w:t>
        </w:r>
        <w:r>
          <w:t>.</w:t>
        </w:r>
        <w:r>
          <w:rPr>
            <w:lang w:val="en-US"/>
          </w:rPr>
          <w:t>cbr</w:t>
        </w:r>
        <w:r>
          <w:t>.</w:t>
        </w:r>
        <w:r>
          <w:rPr>
            <w:lang w:val="en-US"/>
          </w:rPr>
          <w:t>ru</w:t>
        </w:r>
        <w:r>
          <w:t>/</w:t>
        </w:r>
        <w:r>
          <w:rPr>
            <w:lang w:val="en-US"/>
          </w:rPr>
          <w:t>banking</w:t>
        </w:r>
        <w:r>
          <w:t>_</w:t>
        </w:r>
        <w:r>
          <w:rPr>
            <w:lang w:val="en-US"/>
          </w:rPr>
          <w:t>sector</w:t>
        </w:r>
        <w:r>
          <w:t>/</w:t>
        </w:r>
        <w:r>
          <w:rPr>
            <w:lang w:val="en-US"/>
          </w:rPr>
          <w:t>otchetnost</w:t>
        </w:r>
        <w:r>
          <w:t>-</w:t>
        </w:r>
        <w:r>
          <w:rPr>
            <w:lang w:val="en-US"/>
          </w:rPr>
          <w:t>kreditnykh</w:t>
        </w:r>
        <w:r>
          <w:t>-</w:t>
        </w:r>
        <w:r>
          <w:rPr>
            <w:lang w:val="en-US"/>
          </w:rPr>
          <w:t>organizaciy</w:t>
        </w:r>
        <w:r>
          <w:t>/</w:t>
        </w:r>
        <w:r>
          <w:rPr>
            <w:lang w:val="en-US"/>
          </w:rPr>
          <w:t>transparent</w:t>
        </w:r>
        <w:r>
          <w:t>/</w:t>
        </w:r>
      </w:hyperlink>
      <w:r>
        <w:t xml:space="preserve">. </w:t>
      </w:r>
    </w:p>
  </w:footnote>
  <w:footnote w:id="2">
    <w:p w:rsidR="007F6838" w:rsidRDefault="007F6838">
      <w:pPr>
        <w:pStyle w:val="a3"/>
      </w:pPr>
      <w:r>
        <w:rPr>
          <w:rStyle w:val="af0"/>
        </w:rPr>
        <w:footnoteRef/>
      </w:r>
      <w:r>
        <w:t xml:space="preserve"> В методиках кредитных рейтинговых агентств этот раздел обычно именуется анализом фондирования.</w:t>
      </w:r>
    </w:p>
  </w:footnote>
  <w:footnote w:id="3">
    <w:p w:rsidR="007F6838" w:rsidRDefault="007F6838">
      <w:pPr>
        <w:pStyle w:val="a3"/>
      </w:pPr>
      <w:r>
        <w:rPr>
          <w:rStyle w:val="af0"/>
        </w:rPr>
        <w:footnoteRef/>
      </w:r>
      <w:r>
        <w:t xml:space="preserve"> </w:t>
      </w:r>
      <w:r>
        <w:rPr>
          <w:lang w:val="en-US"/>
        </w:rPr>
        <w:t>Yandex</w:t>
      </w:r>
      <w:r>
        <w:t xml:space="preserve"> </w:t>
      </w:r>
      <w:r>
        <w:rPr>
          <w:lang w:val="en-US"/>
        </w:rPr>
        <w:t>DataLens</w:t>
      </w:r>
      <w:r>
        <w:t xml:space="preserve">. Ссылка на подключение к облачному приложению - </w:t>
      </w:r>
      <w:hyperlink r:id="rId2">
        <w:r>
          <w:t>https://cloud.yandex.ru/services/datalens</w:t>
        </w:r>
      </w:hyperlink>
      <w:r>
        <w:t>.</w:t>
      </w:r>
    </w:p>
  </w:footnote>
  <w:footnote w:id="4">
    <w:p w:rsidR="007F6838" w:rsidRDefault="007F6838">
      <w:pPr>
        <w:pStyle w:val="a3"/>
      </w:pPr>
      <w:r>
        <w:rPr>
          <w:rStyle w:val="af0"/>
        </w:rPr>
        <w:footnoteRef/>
      </w:r>
      <w:r>
        <w:t xml:space="preserve"> Ссылка на скачивание приложения Power BI Desktop для работы на персональном компьютере - </w:t>
      </w:r>
      <w:hyperlink r:id="rId3">
        <w:r>
          <w:t>https://www.microsoft.com/ru-RU/download/details.aspx?id=58494</w:t>
        </w:r>
      </w:hyperlink>
    </w:p>
  </w:footnote>
  <w:footnote w:id="5">
    <w:p w:rsidR="007F6838" w:rsidRDefault="007F6838">
      <w:pPr>
        <w:pStyle w:val="a3"/>
        <w:jc w:val="both"/>
        <w:rPr>
          <w:sz w:val="24"/>
          <w:szCs w:val="24"/>
        </w:rPr>
      </w:pPr>
      <w:r>
        <w:rPr>
          <w:rStyle w:val="af0"/>
        </w:rPr>
        <w:footnoteRef/>
      </w:r>
      <w:r>
        <w:rPr>
          <w:sz w:val="24"/>
          <w:szCs w:val="24"/>
        </w:rPr>
        <w:t xml:space="preserve"> Кредиты на приобретение помещения на определенных условиях (соотношение размера ссуды и стоимости залога, регулярная переоценка помещения и т.д.)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838" w:rsidRDefault="007F6838">
    <w:pPr>
      <w:pStyle w:val="afa"/>
      <w:rPr>
        <w:rStyle w:val="FontStyle72"/>
        <w:b w:val="0"/>
        <w:b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0E16A9"/>
    <w:multiLevelType w:val="multilevel"/>
    <w:tmpl w:val="F814B40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9B754CD"/>
    <w:multiLevelType w:val="multilevel"/>
    <w:tmpl w:val="1EA04018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" w15:restartNumberingAfterBreak="0">
    <w:nsid w:val="1AD168C9"/>
    <w:multiLevelType w:val="multilevel"/>
    <w:tmpl w:val="84C60598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3" w15:restartNumberingAfterBreak="0">
    <w:nsid w:val="1DFA2468"/>
    <w:multiLevelType w:val="multilevel"/>
    <w:tmpl w:val="A9B406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4" w15:restartNumberingAfterBreak="0">
    <w:nsid w:val="224A1F84"/>
    <w:multiLevelType w:val="multilevel"/>
    <w:tmpl w:val="6B2C032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28A3247F"/>
    <w:multiLevelType w:val="multilevel"/>
    <w:tmpl w:val="9FF4C3AE"/>
    <w:lvl w:ilvl="0">
      <w:start w:val="1"/>
      <w:numFmt w:val="bullet"/>
      <w:lvlText w:val=""/>
      <w:lvlJc w:val="left"/>
      <w:pPr>
        <w:tabs>
          <w:tab w:val="num" w:pos="0"/>
        </w:tabs>
        <w:ind w:left="1429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296E19C7"/>
    <w:multiLevelType w:val="multilevel"/>
    <w:tmpl w:val="43183C6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34931D9D"/>
    <w:multiLevelType w:val="multilevel"/>
    <w:tmpl w:val="785E50F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3E673660"/>
    <w:multiLevelType w:val="multilevel"/>
    <w:tmpl w:val="6F60501C"/>
    <w:lvl w:ilvl="0">
      <w:start w:val="1"/>
      <w:numFmt w:val="bullet"/>
      <w:lvlText w:val="−"/>
      <w:lvlJc w:val="left"/>
      <w:pPr>
        <w:tabs>
          <w:tab w:val="num" w:pos="0"/>
        </w:tabs>
        <w:ind w:left="839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5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7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9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1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43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5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7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99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490C0743"/>
    <w:multiLevelType w:val="multilevel"/>
    <w:tmpl w:val="7CCC203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66C14722"/>
    <w:multiLevelType w:val="multilevel"/>
    <w:tmpl w:val="3C3E7A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11" w15:restartNumberingAfterBreak="0">
    <w:nsid w:val="684F6CA2"/>
    <w:multiLevelType w:val="multilevel"/>
    <w:tmpl w:val="B8EA8E36"/>
    <w:lvl w:ilvl="0">
      <w:start w:val="1"/>
      <w:numFmt w:val="decimal"/>
      <w:pStyle w:val="2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69ED66AB"/>
    <w:multiLevelType w:val="multilevel"/>
    <w:tmpl w:val="0AF227D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8"/>
  </w:num>
  <w:num w:numId="5">
    <w:abstractNumId w:val="9"/>
  </w:num>
  <w:num w:numId="6">
    <w:abstractNumId w:val="7"/>
  </w:num>
  <w:num w:numId="7">
    <w:abstractNumId w:val="0"/>
  </w:num>
  <w:num w:numId="8">
    <w:abstractNumId w:val="1"/>
  </w:num>
  <w:num w:numId="9">
    <w:abstractNumId w:val="2"/>
  </w:num>
  <w:num w:numId="10">
    <w:abstractNumId w:val="11"/>
  </w:num>
  <w:num w:numId="11">
    <w:abstractNumId w:val="3"/>
  </w:num>
  <w:num w:numId="12">
    <w:abstractNumId w:val="10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6BE5"/>
    <w:rsid w:val="002A6BE5"/>
    <w:rsid w:val="00326BAD"/>
    <w:rsid w:val="00555006"/>
    <w:rsid w:val="007F6838"/>
    <w:rsid w:val="00DC218E"/>
    <w:rsid w:val="00F52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BDECC"/>
  <w15:docId w15:val="{08BC6BB5-2E7D-46A5-884D-CDC211E110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02899"/>
    <w:pPr>
      <w:widowControl w:val="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uiPriority w:val="9"/>
    <w:qFormat/>
    <w:rsid w:val="00AA488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0">
    <w:name w:val="heading 2"/>
    <w:basedOn w:val="a"/>
    <w:next w:val="a"/>
    <w:link w:val="21"/>
    <w:uiPriority w:val="9"/>
    <w:unhideWhenUsed/>
    <w:qFormat/>
    <w:rsid w:val="00AA488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34E5E"/>
    <w:pPr>
      <w:keepNext/>
      <w:keepLines/>
      <w:widowControl/>
      <w:spacing w:before="4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1">
    <w:name w:val="Текст сноски Знак3"/>
    <w:basedOn w:val="a0"/>
    <w:link w:val="a3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qFormat/>
    <w:rsid w:val="00734E5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FontStyle53">
    <w:name w:val="Font Style53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4">
    <w:name w:val="Font Style54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7">
    <w:name w:val="Font Style57"/>
    <w:basedOn w:val="a0"/>
    <w:uiPriority w:val="99"/>
    <w:qFormat/>
    <w:rsid w:val="0020289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63">
    <w:name w:val="Font Style63"/>
    <w:basedOn w:val="a0"/>
    <w:uiPriority w:val="99"/>
    <w:qFormat/>
    <w:rsid w:val="00202899"/>
    <w:rPr>
      <w:rFonts w:ascii="Times New Roman" w:hAnsi="Times New Roman" w:cs="Times New Roman"/>
      <w:sz w:val="30"/>
      <w:szCs w:val="30"/>
    </w:rPr>
  </w:style>
  <w:style w:type="character" w:customStyle="1" w:styleId="FontStyle65">
    <w:name w:val="Font Style65"/>
    <w:basedOn w:val="a0"/>
    <w:uiPriority w:val="99"/>
    <w:qFormat/>
    <w:rsid w:val="002028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7">
    <w:name w:val="Font Style67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FontStyle71">
    <w:name w:val="Font Style71"/>
    <w:basedOn w:val="a0"/>
    <w:uiPriority w:val="99"/>
    <w:qFormat/>
    <w:rsid w:val="00202899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2">
    <w:name w:val="Font Style72"/>
    <w:basedOn w:val="a0"/>
    <w:uiPriority w:val="99"/>
    <w:qFormat/>
    <w:rsid w:val="002028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3">
    <w:name w:val="Font Style73"/>
    <w:basedOn w:val="a0"/>
    <w:qFormat/>
    <w:rsid w:val="00202899"/>
    <w:rPr>
      <w:rFonts w:ascii="Times New Roman" w:hAnsi="Times New Roman" w:cs="Times New Roman"/>
      <w:sz w:val="26"/>
      <w:szCs w:val="26"/>
    </w:rPr>
  </w:style>
  <w:style w:type="character" w:customStyle="1" w:styleId="FontStyle74">
    <w:name w:val="Font Style74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a4">
    <w:name w:val="Верх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6">
    <w:name w:val="Заголовок Знак"/>
    <w:basedOn w:val="a0"/>
    <w:qFormat/>
    <w:rsid w:val="00B96B00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FontStyle58">
    <w:name w:val="Font Style58"/>
    <w:basedOn w:val="a0"/>
    <w:uiPriority w:val="99"/>
    <w:qFormat/>
    <w:rsid w:val="00A03464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60">
    <w:name w:val="Font Style60"/>
    <w:basedOn w:val="a0"/>
    <w:uiPriority w:val="99"/>
    <w:qFormat/>
    <w:rsid w:val="00375F1B"/>
    <w:rPr>
      <w:rFonts w:ascii="Times New Roman" w:hAnsi="Times New Roman" w:cs="Times New Roman"/>
      <w:sz w:val="20"/>
      <w:szCs w:val="20"/>
    </w:rPr>
  </w:style>
  <w:style w:type="character" w:customStyle="1" w:styleId="-">
    <w:name w:val="Интернет-ссылка"/>
    <w:basedOn w:val="a0"/>
    <w:uiPriority w:val="99"/>
    <w:unhideWhenUsed/>
    <w:rsid w:val="00447785"/>
    <w:rPr>
      <w:color w:val="0563C1" w:themeColor="hyperlink"/>
      <w:u w:val="single"/>
    </w:rPr>
  </w:style>
  <w:style w:type="character" w:customStyle="1" w:styleId="a7">
    <w:name w:val="Текст выноски Знак"/>
    <w:basedOn w:val="a0"/>
    <w:uiPriority w:val="99"/>
    <w:semiHidden/>
    <w:qFormat/>
    <w:rsid w:val="00106B1E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22">
    <w:name w:val="Текст сноски Знак2"/>
    <w:qFormat/>
    <w:locked/>
    <w:rsid w:val="00BE19F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сноски Знак"/>
    <w:basedOn w:val="a0"/>
    <w:uiPriority w:val="99"/>
    <w:qFormat/>
    <w:rsid w:val="00BE19FB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9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qFormat/>
    <w:rsid w:val="00447785"/>
    <w:rPr>
      <w:vertAlign w:val="superscript"/>
    </w:rPr>
  </w:style>
  <w:style w:type="character" w:styleId="aa">
    <w:name w:val="Strong"/>
    <w:uiPriority w:val="22"/>
    <w:qFormat/>
    <w:rsid w:val="00547B7F"/>
    <w:rPr>
      <w:rFonts w:ascii="Times New Roman" w:hAnsi="Times New Roman" w:cs="Times New Roman"/>
      <w:b/>
      <w:bCs/>
      <w:sz w:val="24"/>
      <w:u w:val="single"/>
    </w:rPr>
  </w:style>
  <w:style w:type="character" w:customStyle="1" w:styleId="ab">
    <w:name w:val="Текст примечания Знак"/>
    <w:basedOn w:val="a0"/>
    <w:uiPriority w:val="99"/>
    <w:semiHidden/>
    <w:qFormat/>
    <w:rsid w:val="00734E5E"/>
    <w:rPr>
      <w:sz w:val="20"/>
      <w:szCs w:val="20"/>
    </w:rPr>
  </w:style>
  <w:style w:type="character" w:customStyle="1" w:styleId="ac">
    <w:name w:val="Тема примечания Знак"/>
    <w:basedOn w:val="ab"/>
    <w:uiPriority w:val="99"/>
    <w:semiHidden/>
    <w:qFormat/>
    <w:rsid w:val="00734E5E"/>
    <w:rPr>
      <w:b/>
      <w:bCs/>
      <w:sz w:val="20"/>
      <w:szCs w:val="20"/>
    </w:rPr>
  </w:style>
  <w:style w:type="character" w:customStyle="1" w:styleId="ad">
    <w:name w:val="Посещённая гиперссылка"/>
    <w:basedOn w:val="a0"/>
    <w:uiPriority w:val="99"/>
    <w:semiHidden/>
    <w:unhideWhenUsed/>
    <w:rsid w:val="00447785"/>
    <w:rPr>
      <w:color w:val="954F72" w:themeColor="followedHyperlink"/>
      <w:u w:val="single"/>
    </w:rPr>
  </w:style>
  <w:style w:type="character" w:styleId="ae">
    <w:name w:val="annotation reference"/>
    <w:basedOn w:val="a0"/>
    <w:uiPriority w:val="99"/>
    <w:semiHidden/>
    <w:unhideWhenUsed/>
    <w:qFormat/>
    <w:rsid w:val="0055592D"/>
    <w:rPr>
      <w:sz w:val="16"/>
      <w:szCs w:val="16"/>
    </w:rPr>
  </w:style>
  <w:style w:type="character" w:customStyle="1" w:styleId="FontStyle13">
    <w:name w:val="Font Style13"/>
    <w:qFormat/>
    <w:rsid w:val="00D97EC9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">
    <w:name w:val="Font Style15"/>
    <w:uiPriority w:val="99"/>
    <w:qFormat/>
    <w:rsid w:val="00D97EC9"/>
    <w:rPr>
      <w:rFonts w:ascii="Times New Roman" w:hAnsi="Times New Roman" w:cs="Times New Roman"/>
      <w:b/>
      <w:bCs/>
      <w:color w:val="000000"/>
      <w:sz w:val="28"/>
      <w:szCs w:val="28"/>
    </w:rPr>
  </w:style>
  <w:style w:type="character" w:customStyle="1" w:styleId="10">
    <w:name w:val="Текст сноски Знак1"/>
    <w:basedOn w:val="a0"/>
    <w:qFormat/>
    <w:rsid w:val="00D97EC9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11">
    <w:name w:val="Неразрешенное упоминание1"/>
    <w:basedOn w:val="a0"/>
    <w:uiPriority w:val="99"/>
    <w:semiHidden/>
    <w:unhideWhenUsed/>
    <w:qFormat/>
    <w:rsid w:val="000F423D"/>
    <w:rPr>
      <w:color w:val="605E5C"/>
      <w:shd w:val="clear" w:color="auto" w:fill="E1DFDD"/>
    </w:rPr>
  </w:style>
  <w:style w:type="character" w:customStyle="1" w:styleId="af">
    <w:name w:val="Ссылка указателя"/>
    <w:qFormat/>
  </w:style>
  <w:style w:type="character" w:customStyle="1" w:styleId="af0">
    <w:name w:val="Символ сноски"/>
    <w:qFormat/>
  </w:style>
  <w:style w:type="character" w:customStyle="1" w:styleId="af1">
    <w:name w:val="Привязка концевой сноски"/>
    <w:rPr>
      <w:vertAlign w:val="superscript"/>
    </w:rPr>
  </w:style>
  <w:style w:type="character" w:customStyle="1" w:styleId="af2">
    <w:name w:val="Символ концевой сноски"/>
    <w:qFormat/>
  </w:style>
  <w:style w:type="character" w:customStyle="1" w:styleId="23">
    <w:name w:val="Основной текст (2)"/>
    <w:basedOn w:val="a0"/>
    <w:qFormat/>
    <w:rsid w:val="0044778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af3">
    <w:name w:val="Символ нумерации"/>
    <w:qFormat/>
    <w:rPr>
      <w:rFonts w:ascii="Times New Roman" w:hAnsi="Times New Roman"/>
      <w:sz w:val="28"/>
      <w:szCs w:val="28"/>
    </w:rPr>
  </w:style>
  <w:style w:type="paragraph" w:styleId="af4">
    <w:name w:val="Title"/>
    <w:basedOn w:val="a"/>
    <w:next w:val="af5"/>
    <w:qFormat/>
    <w:rsid w:val="00B96B00"/>
    <w:pPr>
      <w:widowControl/>
      <w:jc w:val="center"/>
    </w:pPr>
    <w:rPr>
      <w:rFonts w:eastAsia="Times New Roman"/>
      <w:b/>
      <w:sz w:val="28"/>
      <w:szCs w:val="20"/>
    </w:rPr>
  </w:style>
  <w:style w:type="paragraph" w:styleId="af5">
    <w:name w:val="Body Text"/>
    <w:basedOn w:val="a"/>
    <w:pPr>
      <w:spacing w:after="140" w:line="276" w:lineRule="auto"/>
    </w:pPr>
  </w:style>
  <w:style w:type="paragraph" w:styleId="af6">
    <w:name w:val="List"/>
    <w:basedOn w:val="a"/>
    <w:uiPriority w:val="99"/>
    <w:semiHidden/>
    <w:unhideWhenUsed/>
    <w:rsid w:val="001668FA"/>
    <w:pPr>
      <w:ind w:left="283" w:hanging="283"/>
      <w:contextualSpacing/>
    </w:pPr>
  </w:style>
  <w:style w:type="paragraph" w:styleId="af7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8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customStyle="1" w:styleId="Style1">
    <w:name w:val="Style1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5">
    <w:name w:val="Style5"/>
    <w:basedOn w:val="a"/>
    <w:uiPriority w:val="99"/>
    <w:qFormat/>
    <w:rsid w:val="00202899"/>
  </w:style>
  <w:style w:type="paragraph" w:customStyle="1" w:styleId="Style6">
    <w:name w:val="Style6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7">
    <w:name w:val="Style7"/>
    <w:basedOn w:val="a"/>
    <w:uiPriority w:val="99"/>
    <w:qFormat/>
    <w:rsid w:val="00202899"/>
    <w:pPr>
      <w:spacing w:line="370" w:lineRule="exact"/>
      <w:jc w:val="center"/>
    </w:pPr>
  </w:style>
  <w:style w:type="paragraph" w:customStyle="1" w:styleId="Style8">
    <w:name w:val="Style8"/>
    <w:basedOn w:val="a"/>
    <w:uiPriority w:val="99"/>
    <w:qFormat/>
    <w:rsid w:val="00202899"/>
    <w:pPr>
      <w:jc w:val="both"/>
    </w:pPr>
  </w:style>
  <w:style w:type="paragraph" w:customStyle="1" w:styleId="Style11">
    <w:name w:val="Style11"/>
    <w:basedOn w:val="a"/>
    <w:uiPriority w:val="99"/>
    <w:qFormat/>
    <w:rsid w:val="00202899"/>
    <w:pPr>
      <w:spacing w:line="322" w:lineRule="exact"/>
      <w:jc w:val="right"/>
    </w:pPr>
  </w:style>
  <w:style w:type="paragraph" w:customStyle="1" w:styleId="Style16">
    <w:name w:val="Style16"/>
    <w:basedOn w:val="a"/>
    <w:uiPriority w:val="99"/>
    <w:qFormat/>
    <w:rsid w:val="00202899"/>
    <w:pPr>
      <w:jc w:val="both"/>
    </w:pPr>
  </w:style>
  <w:style w:type="paragraph" w:customStyle="1" w:styleId="Style17">
    <w:name w:val="Style17"/>
    <w:basedOn w:val="a"/>
    <w:uiPriority w:val="99"/>
    <w:qFormat/>
    <w:rsid w:val="00202899"/>
    <w:pPr>
      <w:spacing w:line="322" w:lineRule="exact"/>
      <w:ind w:hanging="878"/>
    </w:pPr>
  </w:style>
  <w:style w:type="paragraph" w:customStyle="1" w:styleId="Style18">
    <w:name w:val="Style18"/>
    <w:basedOn w:val="a"/>
    <w:uiPriority w:val="99"/>
    <w:qFormat/>
    <w:rsid w:val="00202899"/>
    <w:pPr>
      <w:spacing w:line="365" w:lineRule="exact"/>
      <w:ind w:firstLine="1320"/>
    </w:pPr>
  </w:style>
  <w:style w:type="paragraph" w:customStyle="1" w:styleId="Style19">
    <w:name w:val="Style19"/>
    <w:basedOn w:val="a"/>
    <w:uiPriority w:val="99"/>
    <w:qFormat/>
    <w:rsid w:val="00202899"/>
    <w:pPr>
      <w:spacing w:line="274" w:lineRule="exact"/>
      <w:ind w:hanging="1978"/>
    </w:pPr>
  </w:style>
  <w:style w:type="paragraph" w:customStyle="1" w:styleId="Style20">
    <w:name w:val="Style20"/>
    <w:basedOn w:val="a"/>
    <w:uiPriority w:val="99"/>
    <w:qFormat/>
    <w:rsid w:val="00202899"/>
    <w:pPr>
      <w:spacing w:line="278" w:lineRule="exact"/>
      <w:ind w:hanging="1046"/>
    </w:pPr>
  </w:style>
  <w:style w:type="paragraph" w:customStyle="1" w:styleId="Style22">
    <w:name w:val="Style22"/>
    <w:basedOn w:val="a"/>
    <w:uiPriority w:val="99"/>
    <w:qFormat/>
    <w:rsid w:val="00202899"/>
  </w:style>
  <w:style w:type="paragraph" w:customStyle="1" w:styleId="Style23">
    <w:name w:val="Style23"/>
    <w:basedOn w:val="a"/>
    <w:uiPriority w:val="99"/>
    <w:qFormat/>
    <w:rsid w:val="00202899"/>
  </w:style>
  <w:style w:type="paragraph" w:customStyle="1" w:styleId="Style25">
    <w:name w:val="Style25"/>
    <w:basedOn w:val="a"/>
    <w:uiPriority w:val="99"/>
    <w:qFormat/>
    <w:rsid w:val="00202899"/>
    <w:pPr>
      <w:spacing w:line="276" w:lineRule="exact"/>
    </w:pPr>
  </w:style>
  <w:style w:type="paragraph" w:customStyle="1" w:styleId="Style30">
    <w:name w:val="Style30"/>
    <w:basedOn w:val="a"/>
    <w:uiPriority w:val="99"/>
    <w:qFormat/>
    <w:rsid w:val="00202899"/>
  </w:style>
  <w:style w:type="paragraph" w:customStyle="1" w:styleId="Style31">
    <w:name w:val="Style31"/>
    <w:basedOn w:val="a"/>
    <w:uiPriority w:val="99"/>
    <w:qFormat/>
    <w:rsid w:val="00202899"/>
    <w:pPr>
      <w:spacing w:line="278" w:lineRule="exact"/>
      <w:ind w:hanging="134"/>
    </w:pPr>
  </w:style>
  <w:style w:type="paragraph" w:customStyle="1" w:styleId="Style35">
    <w:name w:val="Style35"/>
    <w:basedOn w:val="a"/>
    <w:uiPriority w:val="99"/>
    <w:qFormat/>
    <w:rsid w:val="00202899"/>
    <w:pPr>
      <w:spacing w:line="298" w:lineRule="exact"/>
      <w:jc w:val="right"/>
    </w:pPr>
  </w:style>
  <w:style w:type="paragraph" w:customStyle="1" w:styleId="Style36">
    <w:name w:val="Style36"/>
    <w:basedOn w:val="a"/>
    <w:uiPriority w:val="99"/>
    <w:qFormat/>
    <w:rsid w:val="00202899"/>
  </w:style>
  <w:style w:type="paragraph" w:customStyle="1" w:styleId="af9">
    <w:name w:val="Верхний и нижний колонтитулы"/>
    <w:basedOn w:val="a"/>
    <w:qFormat/>
  </w:style>
  <w:style w:type="paragraph" w:styleId="afa">
    <w:name w:val="head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b">
    <w:name w:val="foot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c">
    <w:name w:val="List Paragraph"/>
    <w:basedOn w:val="a"/>
    <w:qFormat/>
    <w:rsid w:val="00B96B00"/>
    <w:pPr>
      <w:ind w:left="708"/>
    </w:pPr>
    <w:rPr>
      <w:rFonts w:eastAsia="Times New Roman"/>
      <w:sz w:val="20"/>
      <w:szCs w:val="20"/>
    </w:rPr>
  </w:style>
  <w:style w:type="paragraph" w:customStyle="1" w:styleId="Style13">
    <w:name w:val="Style13"/>
    <w:basedOn w:val="a"/>
    <w:uiPriority w:val="99"/>
    <w:qFormat/>
    <w:rsid w:val="00A03464"/>
    <w:pPr>
      <w:spacing w:line="499" w:lineRule="exact"/>
      <w:ind w:firstLine="2664"/>
    </w:pPr>
  </w:style>
  <w:style w:type="paragraph" w:customStyle="1" w:styleId="Style39">
    <w:name w:val="Style39"/>
    <w:basedOn w:val="a"/>
    <w:uiPriority w:val="99"/>
    <w:qFormat/>
    <w:rsid w:val="00A03464"/>
    <w:pPr>
      <w:spacing w:line="485" w:lineRule="exact"/>
      <w:jc w:val="both"/>
    </w:pPr>
  </w:style>
  <w:style w:type="paragraph" w:customStyle="1" w:styleId="Style42">
    <w:name w:val="Style42"/>
    <w:basedOn w:val="a"/>
    <w:uiPriority w:val="99"/>
    <w:qFormat/>
    <w:rsid w:val="00A03464"/>
    <w:pPr>
      <w:spacing w:line="487" w:lineRule="exact"/>
      <w:ind w:firstLine="710"/>
      <w:jc w:val="both"/>
    </w:pPr>
  </w:style>
  <w:style w:type="paragraph" w:customStyle="1" w:styleId="Style46">
    <w:name w:val="Style46"/>
    <w:basedOn w:val="a"/>
    <w:uiPriority w:val="99"/>
    <w:qFormat/>
    <w:rsid w:val="00A03464"/>
    <w:pPr>
      <w:spacing w:line="482" w:lineRule="exact"/>
      <w:ind w:firstLine="629"/>
      <w:jc w:val="both"/>
    </w:pPr>
  </w:style>
  <w:style w:type="paragraph" w:customStyle="1" w:styleId="Style26">
    <w:name w:val="Style26"/>
    <w:basedOn w:val="a"/>
    <w:uiPriority w:val="99"/>
    <w:qFormat/>
    <w:rsid w:val="00336AF2"/>
    <w:pPr>
      <w:spacing w:line="482" w:lineRule="exact"/>
      <w:ind w:hanging="346"/>
    </w:pPr>
    <w:rPr>
      <w:rFonts w:eastAsia="Times New Roman"/>
    </w:rPr>
  </w:style>
  <w:style w:type="paragraph" w:customStyle="1" w:styleId="Style41">
    <w:name w:val="Style41"/>
    <w:basedOn w:val="a"/>
    <w:qFormat/>
    <w:rsid w:val="00336AF2"/>
    <w:pPr>
      <w:spacing w:line="394" w:lineRule="exact"/>
      <w:ind w:hanging="355"/>
    </w:pPr>
    <w:rPr>
      <w:rFonts w:eastAsia="Times New Roman"/>
    </w:rPr>
  </w:style>
  <w:style w:type="paragraph" w:customStyle="1" w:styleId="Style48">
    <w:name w:val="Style48"/>
    <w:basedOn w:val="a"/>
    <w:qFormat/>
    <w:rsid w:val="00336AF2"/>
    <w:pPr>
      <w:spacing w:line="480" w:lineRule="exact"/>
      <w:ind w:hanging="355"/>
    </w:pPr>
    <w:rPr>
      <w:rFonts w:eastAsia="Times New Roman"/>
    </w:rPr>
  </w:style>
  <w:style w:type="paragraph" w:styleId="afd">
    <w:name w:val="TOC Heading"/>
    <w:basedOn w:val="1"/>
    <w:next w:val="a"/>
    <w:uiPriority w:val="39"/>
    <w:unhideWhenUsed/>
    <w:qFormat/>
    <w:rsid w:val="00086F3B"/>
    <w:pPr>
      <w:widowControl/>
      <w:spacing w:line="259" w:lineRule="auto"/>
    </w:pPr>
  </w:style>
  <w:style w:type="paragraph" w:styleId="12">
    <w:name w:val="toc 1"/>
    <w:basedOn w:val="a"/>
    <w:next w:val="a"/>
    <w:autoRedefine/>
    <w:uiPriority w:val="39"/>
    <w:unhideWhenUsed/>
    <w:rsid w:val="00F52192"/>
    <w:pPr>
      <w:tabs>
        <w:tab w:val="right" w:leader="dot" w:pos="9345"/>
      </w:tabs>
      <w:spacing w:after="100"/>
    </w:pPr>
    <w:rPr>
      <w:rFonts w:eastAsia="Calibri"/>
      <w:bCs/>
      <w:color w:val="FF0000"/>
      <w:kern w:val="2"/>
    </w:rPr>
  </w:style>
  <w:style w:type="paragraph" w:styleId="24">
    <w:name w:val="toc 2"/>
    <w:basedOn w:val="a"/>
    <w:next w:val="a"/>
    <w:autoRedefine/>
    <w:uiPriority w:val="39"/>
    <w:unhideWhenUsed/>
    <w:rsid w:val="00086F3B"/>
    <w:pPr>
      <w:spacing w:after="100"/>
      <w:ind w:left="240"/>
    </w:pPr>
  </w:style>
  <w:style w:type="paragraph" w:styleId="afe">
    <w:name w:val="Balloon Text"/>
    <w:basedOn w:val="a"/>
    <w:uiPriority w:val="99"/>
    <w:semiHidden/>
    <w:unhideWhenUsed/>
    <w:qFormat/>
    <w:rsid w:val="00106B1E"/>
    <w:rPr>
      <w:rFonts w:ascii="Segoe UI" w:hAnsi="Segoe UI" w:cs="Segoe UI"/>
      <w:sz w:val="18"/>
      <w:szCs w:val="18"/>
    </w:rPr>
  </w:style>
  <w:style w:type="paragraph" w:styleId="a3">
    <w:name w:val="footnote text"/>
    <w:basedOn w:val="a"/>
    <w:link w:val="31"/>
    <w:uiPriority w:val="99"/>
    <w:rsid w:val="00BE19FB"/>
    <w:rPr>
      <w:rFonts w:eastAsia="Times New Roman"/>
      <w:sz w:val="20"/>
      <w:szCs w:val="20"/>
    </w:rPr>
  </w:style>
  <w:style w:type="paragraph" w:styleId="aff">
    <w:name w:val="Normal (Web)"/>
    <w:basedOn w:val="a"/>
    <w:uiPriority w:val="99"/>
    <w:semiHidden/>
    <w:unhideWhenUsed/>
    <w:qFormat/>
    <w:rsid w:val="00734E5E"/>
    <w:pPr>
      <w:widowControl/>
      <w:spacing w:beforeAutospacing="1" w:afterAutospacing="1"/>
    </w:pPr>
    <w:rPr>
      <w:rFonts w:eastAsia="Times New Roman"/>
    </w:rPr>
  </w:style>
  <w:style w:type="paragraph" w:styleId="32">
    <w:name w:val="toc 3"/>
    <w:basedOn w:val="a"/>
    <w:next w:val="a"/>
    <w:autoRedefine/>
    <w:uiPriority w:val="39"/>
    <w:unhideWhenUsed/>
    <w:rsid w:val="00734E5E"/>
    <w:pPr>
      <w:widowControl/>
      <w:spacing w:after="100" w:line="276" w:lineRule="auto"/>
      <w:ind w:left="4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f0">
    <w:name w:val="annotation text"/>
    <w:basedOn w:val="a"/>
    <w:uiPriority w:val="99"/>
    <w:semiHidden/>
    <w:unhideWhenUsed/>
    <w:qFormat/>
    <w:rsid w:val="00734E5E"/>
    <w:pPr>
      <w:widowControl/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aff1">
    <w:name w:val="annotation subject"/>
    <w:basedOn w:val="aff0"/>
    <w:next w:val="aff0"/>
    <w:uiPriority w:val="99"/>
    <w:semiHidden/>
    <w:unhideWhenUsed/>
    <w:qFormat/>
    <w:rsid w:val="00734E5E"/>
    <w:rPr>
      <w:b/>
      <w:bCs/>
    </w:rPr>
  </w:style>
  <w:style w:type="paragraph" w:styleId="aff2">
    <w:name w:val="No Spacing"/>
    <w:uiPriority w:val="1"/>
    <w:qFormat/>
    <w:rsid w:val="00D97EC9"/>
    <w:pPr>
      <w:widowContro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">
    <w:name w:val="Начало нумерованного списка 2"/>
    <w:basedOn w:val="af6"/>
    <w:next w:val="2"/>
    <w:qFormat/>
    <w:rsid w:val="001668FA"/>
    <w:pPr>
      <w:spacing w:after="140"/>
      <w:ind w:left="0" w:firstLine="0"/>
      <w:jc w:val="both"/>
    </w:pPr>
    <w:rPr>
      <w:rFonts w:ascii="PT Astra Serif" w:eastAsia="Source Han Sans CN Regular" w:hAnsi="PT Astra Serif" w:cs="Lohit Devanagari"/>
      <w:kern w:val="2"/>
      <w:sz w:val="28"/>
      <w:lang w:bidi="ru-RU"/>
    </w:rPr>
  </w:style>
  <w:style w:type="paragraph" w:styleId="2">
    <w:name w:val="List Number 2"/>
    <w:basedOn w:val="a"/>
    <w:uiPriority w:val="99"/>
    <w:semiHidden/>
    <w:unhideWhenUsed/>
    <w:qFormat/>
    <w:rsid w:val="001668FA"/>
    <w:pPr>
      <w:numPr>
        <w:numId w:val="10"/>
      </w:numPr>
      <w:contextualSpacing/>
    </w:pPr>
  </w:style>
  <w:style w:type="paragraph" w:styleId="4">
    <w:name w:val="toc 4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660"/>
    </w:pPr>
    <w:rPr>
      <w:rFonts w:asciiTheme="minorHAnsi" w:hAnsiTheme="minorHAnsi" w:cstheme="minorBid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880"/>
    </w:pPr>
    <w:rPr>
      <w:rFonts w:asciiTheme="minorHAnsi" w:hAnsiTheme="minorHAnsi" w:cstheme="minorBid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100"/>
    </w:pPr>
    <w:rPr>
      <w:rFonts w:asciiTheme="minorHAnsi" w:hAnsiTheme="minorHAnsi" w:cstheme="minorBid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320"/>
    </w:pPr>
    <w:rPr>
      <w:rFonts w:asciiTheme="minorHAnsi" w:hAnsiTheme="minorHAnsi" w:cstheme="minorBid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540"/>
    </w:pPr>
    <w:rPr>
      <w:rFonts w:asciiTheme="minorHAnsi" w:hAnsiTheme="minorHAnsi" w:cstheme="minorBid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760"/>
    </w:pPr>
    <w:rPr>
      <w:rFonts w:asciiTheme="minorHAnsi" w:hAnsiTheme="minorHAnsi" w:cstheme="minorBidi"/>
      <w:sz w:val="22"/>
      <w:szCs w:val="22"/>
    </w:rPr>
  </w:style>
  <w:style w:type="table" w:styleId="aff3">
    <w:name w:val="Table Grid"/>
    <w:basedOn w:val="a1"/>
    <w:uiPriority w:val="39"/>
    <w:rsid w:val="00E461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"/>
    <w:basedOn w:val="a1"/>
    <w:uiPriority w:val="39"/>
    <w:rsid w:val="0069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Hyperlink"/>
    <w:basedOn w:val="a0"/>
    <w:uiPriority w:val="99"/>
    <w:unhideWhenUsed/>
    <w:rsid w:val="007F683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hyperlink" Target="http://www.cbr.ru/banking_sector/otchetnost-kreditnykh-organizaciy/transparent/" TargetMode="External"/><Relationship Id="rId21" Type="http://schemas.openxmlformats.org/officeDocument/2006/relationships/image" Target="media/image9.png"/><Relationship Id="rId34" Type="http://schemas.openxmlformats.org/officeDocument/2006/relationships/footer" Target="footer6.xml"/><Relationship Id="rId42" Type="http://schemas.openxmlformats.org/officeDocument/2006/relationships/hyperlink" Target="https://analizbankov.ru/bank.php" TargetMode="External"/><Relationship Id="rId47" Type="http://schemas.openxmlformats.org/officeDocument/2006/relationships/hyperlink" Target="https://cloud.yandex.ru/docs/datalens/" TargetMode="External"/><Relationship Id="rId50" Type="http://schemas.openxmlformats.org/officeDocument/2006/relationships/hyperlink" Target="http://www.cbr.ru/banking_sector/otchetnost-kreditnykh-organizaciy/transparent/" TargetMode="Externa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header" Target="header4.xml"/><Relationship Id="rId11" Type="http://schemas.openxmlformats.org/officeDocument/2006/relationships/footer" Target="footer2.xml"/><Relationship Id="rId24" Type="http://schemas.openxmlformats.org/officeDocument/2006/relationships/image" Target="media/image12.wmf"/><Relationship Id="rId32" Type="http://schemas.openxmlformats.org/officeDocument/2006/relationships/footer" Target="footer5.xml"/><Relationship Id="rId37" Type="http://schemas.openxmlformats.org/officeDocument/2006/relationships/hyperlink" Target="https://book.ru/book/940280" TargetMode="External"/><Relationship Id="rId40" Type="http://schemas.openxmlformats.org/officeDocument/2006/relationships/hyperlink" Target="https://kad.arbitr.ru/" TargetMode="External"/><Relationship Id="rId45" Type="http://schemas.openxmlformats.org/officeDocument/2006/relationships/hyperlink" Target="https://ru.yougile.com/" TargetMode="External"/><Relationship Id="rId53" Type="http://schemas.openxmlformats.org/officeDocument/2006/relationships/header" Target="header7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19" Type="http://schemas.openxmlformats.org/officeDocument/2006/relationships/hyperlink" Target="http://www.e-disclosure.ru/portal/company.aspx?id=202" TargetMode="External"/><Relationship Id="rId31" Type="http://schemas.openxmlformats.org/officeDocument/2006/relationships/header" Target="header5.xml"/><Relationship Id="rId44" Type="http://schemas.openxmlformats.org/officeDocument/2006/relationships/hyperlink" Target="https://www.microsoft.com/ru-RU/download/details.aspx?id=58494" TargetMode="External"/><Relationship Id="rId52" Type="http://schemas.openxmlformats.org/officeDocument/2006/relationships/hyperlink" Target="https://kad.arbitr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0.wmf"/><Relationship Id="rId27" Type="http://schemas.openxmlformats.org/officeDocument/2006/relationships/header" Target="header3.xml"/><Relationship Id="rId30" Type="http://schemas.openxmlformats.org/officeDocument/2006/relationships/footer" Target="footer4.xml"/><Relationship Id="rId35" Type="http://schemas.openxmlformats.org/officeDocument/2006/relationships/hyperlink" Target="https://book.ru/book/935994" TargetMode="External"/><Relationship Id="rId43" Type="http://schemas.openxmlformats.org/officeDocument/2006/relationships/hyperlink" Target="https://www.microsoft.com/ru-RU/download/details.aspx?id=58494" TargetMode="External"/><Relationship Id="rId48" Type="http://schemas.openxmlformats.org/officeDocument/2006/relationships/hyperlink" Target="https://cloud.yandex.ru/docs/datalens/" TargetMode="External"/><Relationship Id="rId56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hyperlink" Target="https://analizbankov.ru/bank.php" TargetMode="Externa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3.wmf"/><Relationship Id="rId33" Type="http://schemas.openxmlformats.org/officeDocument/2006/relationships/header" Target="header6.xml"/><Relationship Id="rId38" Type="http://schemas.openxmlformats.org/officeDocument/2006/relationships/hyperlink" Target="http://www.cbr.ru/banking_sector/otchetnost-kreditnykh-organizaciy/transparent/" TargetMode="External"/><Relationship Id="rId46" Type="http://schemas.openxmlformats.org/officeDocument/2006/relationships/hyperlink" Target="https://ru.yougile.com/" TargetMode="External"/><Relationship Id="rId20" Type="http://schemas.openxmlformats.org/officeDocument/2006/relationships/image" Target="media/image8.wmf"/><Relationship Id="rId41" Type="http://schemas.openxmlformats.org/officeDocument/2006/relationships/hyperlink" Target="https://analizbankov.ru/bank.php" TargetMode="External"/><Relationship Id="rId54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1.wmf"/><Relationship Id="rId28" Type="http://schemas.openxmlformats.org/officeDocument/2006/relationships/footer" Target="footer3.xml"/><Relationship Id="rId36" Type="http://schemas.openxmlformats.org/officeDocument/2006/relationships/hyperlink" Target="https://znanium.com/catalog/product/1067793" TargetMode="External"/><Relationship Id="rId49" Type="http://schemas.openxmlformats.org/officeDocument/2006/relationships/hyperlink" Target="https://e-disclosure.ru/?attempt=1" TargetMode="Externa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microsoft.com/ru-RU/download/details.aspx?id=58494" TargetMode="External"/><Relationship Id="rId2" Type="http://schemas.openxmlformats.org/officeDocument/2006/relationships/hyperlink" Target="https://cloud.yandex.ru/services/datalens" TargetMode="External"/><Relationship Id="rId1" Type="http://schemas.openxmlformats.org/officeDocument/2006/relationships/hyperlink" Target="http://www.cbr.ru/banking_sector/otchetnost-kreditnykh-organizaciy/transparen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6269D4-8FE0-4E6F-8412-565574E44C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14646</Words>
  <Characters>83488</Characters>
  <Application>Microsoft Office Word</Application>
  <DocSecurity>0</DocSecurity>
  <Lines>695</Lines>
  <Paragraphs>195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</Company>
  <LinksUpToDate>false</LinksUpToDate>
  <CharactersWithSpaces>97939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Чичуленков Денис Андреевич</dc:creator>
  <dc:description/>
  <cp:lastModifiedBy>Айрапетян Каринэ Петросовна</cp:lastModifiedBy>
  <cp:revision>4</cp:revision>
  <cp:lastPrinted>2024-01-17T11:26:00Z</cp:lastPrinted>
  <dcterms:created xsi:type="dcterms:W3CDTF">2024-02-08T12:18:00Z</dcterms:created>
  <dcterms:modified xsi:type="dcterms:W3CDTF">2024-02-08T13:37:00Z</dcterms:modified>
  <dc:language>ru-RU</dc:language>
</cp:coreProperties>
</file>